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BC" w:rsidRPr="00CA5261" w:rsidRDefault="006B75BC" w:rsidP="00CA5261">
      <w:pPr>
        <w:jc w:val="center"/>
        <w:rPr>
          <w:rFonts w:cs="Times New Roman"/>
          <w:b/>
          <w:bCs/>
          <w:sz w:val="36"/>
          <w:szCs w:val="36"/>
        </w:rPr>
      </w:pPr>
      <w:r>
        <w:rPr>
          <w:rFonts w:cs="宋体" w:hint="eastAsia"/>
          <w:b/>
          <w:bCs/>
          <w:sz w:val="36"/>
          <w:szCs w:val="36"/>
        </w:rPr>
        <w:t>基金</w:t>
      </w:r>
      <w:r w:rsidRPr="00E346D4">
        <w:rPr>
          <w:rFonts w:cs="宋体" w:hint="eastAsia"/>
          <w:b/>
          <w:bCs/>
          <w:sz w:val="36"/>
          <w:szCs w:val="36"/>
        </w:rPr>
        <w:t>项目</w:t>
      </w:r>
      <w:r>
        <w:rPr>
          <w:rFonts w:ascii="宋体" w:hAnsi="宋体" w:cs="宋体"/>
          <w:b/>
          <w:bCs/>
          <w:sz w:val="36"/>
          <w:szCs w:val="36"/>
        </w:rPr>
        <w:t>—</w:t>
      </w:r>
      <w:r w:rsidRPr="00E346D4">
        <w:rPr>
          <w:rFonts w:cs="宋体" w:hint="eastAsia"/>
          <w:b/>
          <w:bCs/>
          <w:sz w:val="36"/>
          <w:szCs w:val="36"/>
        </w:rPr>
        <w:t>成果简介</w:t>
      </w:r>
    </w:p>
    <w:tbl>
      <w:tblPr>
        <w:tblW w:w="92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435"/>
        <w:gridCol w:w="2101"/>
        <w:gridCol w:w="2835"/>
      </w:tblGrid>
      <w:tr w:rsidR="006B75BC" w:rsidRPr="00B15857">
        <w:tc>
          <w:tcPr>
            <w:tcW w:w="1844" w:type="dxa"/>
          </w:tcPr>
          <w:p w:rsidR="006B75BC" w:rsidRPr="00B15857" w:rsidRDefault="006B75BC" w:rsidP="005C5CF6">
            <w:pPr>
              <w:jc w:val="center"/>
              <w:rPr>
                <w:rFonts w:cs="Times New Roman"/>
                <w:sz w:val="28"/>
                <w:szCs w:val="28"/>
              </w:rPr>
            </w:pPr>
            <w:r w:rsidRPr="00B15857">
              <w:rPr>
                <w:rFonts w:cs="宋体" w:hint="eastAsia"/>
                <w:sz w:val="28"/>
                <w:szCs w:val="28"/>
              </w:rPr>
              <w:t>项目名称</w:t>
            </w:r>
          </w:p>
        </w:tc>
        <w:tc>
          <w:tcPr>
            <w:tcW w:w="7371" w:type="dxa"/>
            <w:gridSpan w:val="3"/>
          </w:tcPr>
          <w:p w:rsidR="006B75BC" w:rsidRPr="00B15857" w:rsidRDefault="006B75BC" w:rsidP="006B75BC">
            <w:pPr>
              <w:spacing w:beforeLines="50"/>
              <w:ind w:leftChars="-30" w:left="31680" w:hangingChars="27" w:firstLine="31680"/>
              <w:rPr>
                <w:rFonts w:cs="Times New Roman"/>
                <w:sz w:val="28"/>
                <w:szCs w:val="28"/>
              </w:rPr>
            </w:pPr>
            <w:r w:rsidRPr="00645B82">
              <w:rPr>
                <w:rFonts w:ascii="Times New Roman" w:hAnsi="Times New Roman" w:cs="宋体" w:hint="eastAsia"/>
                <w:sz w:val="24"/>
                <w:szCs w:val="24"/>
              </w:rPr>
              <w:t>不同来源植入前期绵羊胚胎</w:t>
            </w:r>
            <w:r w:rsidRPr="00645B82">
              <w:rPr>
                <w:rFonts w:ascii="Times New Roman" w:hAnsi="Times New Roman" w:cs="Times New Roman"/>
                <w:sz w:val="24"/>
                <w:szCs w:val="24"/>
              </w:rPr>
              <w:t>IFNτ</w:t>
            </w:r>
            <w:r w:rsidRPr="00645B82">
              <w:rPr>
                <w:rFonts w:ascii="Times New Roman" w:hAnsi="Times New Roman" w:cs="宋体" w:hint="eastAsia"/>
                <w:sz w:val="24"/>
                <w:szCs w:val="24"/>
              </w:rPr>
              <w:t>差异表达及其体外诱导子宫上皮细胞</w:t>
            </w:r>
            <w:r w:rsidRPr="00645B82">
              <w:rPr>
                <w:rFonts w:ascii="Times New Roman" w:hAnsi="Times New Roman" w:cs="Times New Roman"/>
                <w:sz w:val="24"/>
                <w:szCs w:val="24"/>
              </w:rPr>
              <w:t>Galectin15</w:t>
            </w:r>
            <w:r w:rsidRPr="00645B82">
              <w:rPr>
                <w:rFonts w:ascii="Times New Roman" w:hAnsi="Times New Roman" w:cs="宋体" w:hint="eastAsia"/>
                <w:sz w:val="24"/>
                <w:szCs w:val="24"/>
              </w:rPr>
              <w:t>表达的研究</w:t>
            </w:r>
          </w:p>
        </w:tc>
      </w:tr>
      <w:tr w:rsidR="006B75BC" w:rsidRPr="00B15857">
        <w:tc>
          <w:tcPr>
            <w:tcW w:w="1844" w:type="dxa"/>
          </w:tcPr>
          <w:p w:rsidR="006B75BC" w:rsidRPr="00B15857" w:rsidRDefault="006B75BC" w:rsidP="005C5CF6">
            <w:pPr>
              <w:jc w:val="center"/>
              <w:rPr>
                <w:rFonts w:cs="Times New Roman"/>
                <w:sz w:val="28"/>
                <w:szCs w:val="28"/>
              </w:rPr>
            </w:pPr>
            <w:r w:rsidRPr="00B15857">
              <w:rPr>
                <w:rFonts w:cs="宋体" w:hint="eastAsia"/>
                <w:sz w:val="28"/>
                <w:szCs w:val="28"/>
              </w:rPr>
              <w:t>项目来源</w:t>
            </w:r>
          </w:p>
        </w:tc>
        <w:tc>
          <w:tcPr>
            <w:tcW w:w="2435" w:type="dxa"/>
          </w:tcPr>
          <w:p w:rsidR="006B75BC" w:rsidRPr="001A1581" w:rsidRDefault="006B75BC" w:rsidP="006B75BC">
            <w:pPr>
              <w:spacing w:beforeLines="50"/>
              <w:ind w:leftChars="-30" w:left="31680" w:hangingChars="27" w:firstLine="31680"/>
              <w:jc w:val="center"/>
              <w:rPr>
                <w:rFonts w:cs="Times New Roman"/>
                <w:sz w:val="28"/>
                <w:szCs w:val="28"/>
              </w:rPr>
            </w:pPr>
            <w:r w:rsidRPr="0069522F">
              <w:rPr>
                <w:rFonts w:cs="宋体" w:hint="eastAsia"/>
                <w:sz w:val="24"/>
                <w:szCs w:val="24"/>
              </w:rPr>
              <w:t>国家自然科学基金</w:t>
            </w:r>
          </w:p>
        </w:tc>
        <w:tc>
          <w:tcPr>
            <w:tcW w:w="2101" w:type="dxa"/>
          </w:tcPr>
          <w:p w:rsidR="006B75BC" w:rsidRPr="001A1581" w:rsidRDefault="006B75BC" w:rsidP="00894FD5">
            <w:pPr>
              <w:jc w:val="center"/>
              <w:rPr>
                <w:rFonts w:cs="Times New Roman"/>
                <w:sz w:val="30"/>
                <w:szCs w:val="30"/>
              </w:rPr>
            </w:pPr>
            <w:r w:rsidRPr="001A1581">
              <w:rPr>
                <w:rFonts w:cs="宋体" w:hint="eastAsia"/>
                <w:sz w:val="30"/>
                <w:szCs w:val="30"/>
              </w:rPr>
              <w:t>项目编号</w:t>
            </w:r>
          </w:p>
        </w:tc>
        <w:tc>
          <w:tcPr>
            <w:tcW w:w="2835" w:type="dxa"/>
          </w:tcPr>
          <w:p w:rsidR="006B75BC" w:rsidRPr="00E07240" w:rsidRDefault="006B75BC" w:rsidP="006B75BC">
            <w:pPr>
              <w:spacing w:beforeLines="50"/>
              <w:ind w:leftChars="-30" w:left="31680" w:hangingChars="27" w:firstLine="31680"/>
              <w:jc w:val="center"/>
              <w:rPr>
                <w:sz w:val="24"/>
                <w:szCs w:val="24"/>
              </w:rPr>
            </w:pPr>
            <w:r w:rsidRPr="00E07240">
              <w:rPr>
                <w:sz w:val="24"/>
                <w:szCs w:val="24"/>
              </w:rPr>
              <w:t>31072185/C180803</w:t>
            </w:r>
          </w:p>
        </w:tc>
      </w:tr>
      <w:tr w:rsidR="006B75BC" w:rsidRPr="00B15857">
        <w:tc>
          <w:tcPr>
            <w:tcW w:w="1844" w:type="dxa"/>
          </w:tcPr>
          <w:p w:rsidR="006B75BC" w:rsidRPr="00B15857" w:rsidRDefault="006B75BC" w:rsidP="005C5CF6">
            <w:pPr>
              <w:jc w:val="center"/>
              <w:rPr>
                <w:rFonts w:cs="Times New Roman"/>
                <w:sz w:val="28"/>
                <w:szCs w:val="28"/>
              </w:rPr>
            </w:pPr>
            <w:r w:rsidRPr="00B15857">
              <w:rPr>
                <w:rFonts w:cs="宋体" w:hint="eastAsia"/>
                <w:sz w:val="28"/>
                <w:szCs w:val="28"/>
              </w:rPr>
              <w:t>起止时间</w:t>
            </w:r>
          </w:p>
        </w:tc>
        <w:tc>
          <w:tcPr>
            <w:tcW w:w="2435" w:type="dxa"/>
          </w:tcPr>
          <w:p w:rsidR="006B75BC" w:rsidRPr="00AD53B5" w:rsidRDefault="006B75BC" w:rsidP="0010623A">
            <w:pPr>
              <w:spacing w:beforeLines="50"/>
              <w:jc w:val="center"/>
              <w:rPr>
                <w:rFonts w:cs="Times New Roman"/>
                <w:sz w:val="24"/>
                <w:szCs w:val="24"/>
              </w:rPr>
            </w:pPr>
            <w:r w:rsidRPr="00AD53B5">
              <w:rPr>
                <w:sz w:val="24"/>
                <w:szCs w:val="24"/>
              </w:rPr>
              <w:t>2011</w:t>
            </w:r>
            <w:r w:rsidRPr="00AD53B5">
              <w:rPr>
                <w:rFonts w:cs="宋体" w:hint="eastAsia"/>
                <w:sz w:val="24"/>
                <w:szCs w:val="24"/>
              </w:rPr>
              <w:t>年</w:t>
            </w:r>
            <w:r w:rsidRPr="00AD53B5">
              <w:rPr>
                <w:sz w:val="24"/>
                <w:szCs w:val="24"/>
              </w:rPr>
              <w:t>-2013</w:t>
            </w:r>
            <w:r w:rsidRPr="00AD53B5">
              <w:rPr>
                <w:rFonts w:cs="宋体" w:hint="eastAsia"/>
                <w:sz w:val="24"/>
                <w:szCs w:val="24"/>
              </w:rPr>
              <w:t>年</w:t>
            </w:r>
          </w:p>
        </w:tc>
        <w:tc>
          <w:tcPr>
            <w:tcW w:w="2101" w:type="dxa"/>
          </w:tcPr>
          <w:p w:rsidR="006B75BC" w:rsidRPr="00AD53B5" w:rsidRDefault="006B75BC" w:rsidP="00894FD5">
            <w:pPr>
              <w:jc w:val="center"/>
              <w:rPr>
                <w:rFonts w:cs="Times New Roman"/>
                <w:sz w:val="30"/>
                <w:szCs w:val="30"/>
              </w:rPr>
            </w:pPr>
            <w:r w:rsidRPr="00AD53B5">
              <w:rPr>
                <w:rFonts w:cs="宋体" w:hint="eastAsia"/>
                <w:sz w:val="30"/>
                <w:szCs w:val="30"/>
              </w:rPr>
              <w:t>结题验收时间</w:t>
            </w:r>
          </w:p>
        </w:tc>
        <w:tc>
          <w:tcPr>
            <w:tcW w:w="2835" w:type="dxa"/>
          </w:tcPr>
          <w:p w:rsidR="006B75BC" w:rsidRPr="00AD53B5" w:rsidRDefault="006B75BC" w:rsidP="0010623A">
            <w:pPr>
              <w:spacing w:beforeLines="50"/>
              <w:jc w:val="center"/>
              <w:rPr>
                <w:rFonts w:cs="Times New Roman"/>
                <w:sz w:val="24"/>
                <w:szCs w:val="24"/>
              </w:rPr>
            </w:pPr>
            <w:r w:rsidRPr="00AD53B5">
              <w:rPr>
                <w:sz w:val="24"/>
                <w:szCs w:val="24"/>
              </w:rPr>
              <w:t>2014</w:t>
            </w:r>
            <w:r w:rsidRPr="00AD53B5">
              <w:rPr>
                <w:rFonts w:cs="宋体" w:hint="eastAsia"/>
                <w:sz w:val="24"/>
                <w:szCs w:val="24"/>
              </w:rPr>
              <w:t>年</w:t>
            </w:r>
            <w:r w:rsidRPr="00AD53B5">
              <w:rPr>
                <w:sz w:val="24"/>
                <w:szCs w:val="24"/>
              </w:rPr>
              <w:t>3</w:t>
            </w:r>
            <w:r w:rsidRPr="00AD53B5">
              <w:rPr>
                <w:rFonts w:cs="宋体" w:hint="eastAsia"/>
                <w:sz w:val="24"/>
                <w:szCs w:val="24"/>
              </w:rPr>
              <w:t>月</w:t>
            </w:r>
          </w:p>
        </w:tc>
      </w:tr>
      <w:tr w:rsidR="006B75BC" w:rsidRPr="00B15857">
        <w:tc>
          <w:tcPr>
            <w:tcW w:w="1844" w:type="dxa"/>
          </w:tcPr>
          <w:p w:rsidR="006B75BC" w:rsidRPr="00B15857" w:rsidRDefault="006B75BC" w:rsidP="005C5CF6">
            <w:pPr>
              <w:jc w:val="center"/>
              <w:rPr>
                <w:rFonts w:cs="Times New Roman"/>
                <w:sz w:val="28"/>
                <w:szCs w:val="28"/>
              </w:rPr>
            </w:pPr>
            <w:r w:rsidRPr="00B15857">
              <w:rPr>
                <w:rFonts w:cs="宋体" w:hint="eastAsia"/>
                <w:sz w:val="28"/>
                <w:szCs w:val="28"/>
              </w:rPr>
              <w:t>项目负责人</w:t>
            </w:r>
          </w:p>
        </w:tc>
        <w:tc>
          <w:tcPr>
            <w:tcW w:w="2435" w:type="dxa"/>
          </w:tcPr>
          <w:p w:rsidR="006B75BC" w:rsidRPr="00645B82" w:rsidRDefault="006B75BC" w:rsidP="006B75BC">
            <w:pPr>
              <w:spacing w:beforeLines="50"/>
              <w:ind w:leftChars="-30" w:left="31680" w:hangingChars="27" w:firstLine="31680"/>
              <w:jc w:val="center"/>
              <w:rPr>
                <w:rFonts w:ascii="Times New Roman" w:hAnsi="Times New Roman" w:cs="Times New Roman"/>
                <w:sz w:val="24"/>
                <w:szCs w:val="24"/>
              </w:rPr>
            </w:pPr>
            <w:r w:rsidRPr="00C83085">
              <w:rPr>
                <w:rFonts w:cs="宋体" w:hint="eastAsia"/>
                <w:sz w:val="24"/>
                <w:szCs w:val="24"/>
              </w:rPr>
              <w:t>倪和民</w:t>
            </w:r>
          </w:p>
        </w:tc>
        <w:tc>
          <w:tcPr>
            <w:tcW w:w="2101" w:type="dxa"/>
          </w:tcPr>
          <w:p w:rsidR="006B75BC" w:rsidRPr="00B15857" w:rsidRDefault="006B75BC" w:rsidP="005C5CF6">
            <w:pPr>
              <w:jc w:val="center"/>
              <w:rPr>
                <w:rFonts w:cs="Times New Roman"/>
                <w:sz w:val="28"/>
                <w:szCs w:val="28"/>
              </w:rPr>
            </w:pPr>
            <w:r w:rsidRPr="00B15857">
              <w:rPr>
                <w:rFonts w:cs="宋体" w:hint="eastAsia"/>
                <w:sz w:val="28"/>
                <w:szCs w:val="28"/>
              </w:rPr>
              <w:t>经</w:t>
            </w:r>
            <w:r w:rsidRPr="00B15857">
              <w:rPr>
                <w:sz w:val="28"/>
                <w:szCs w:val="28"/>
              </w:rPr>
              <w:t xml:space="preserve">    </w:t>
            </w:r>
            <w:r w:rsidRPr="00B15857">
              <w:rPr>
                <w:rFonts w:cs="宋体" w:hint="eastAsia"/>
                <w:sz w:val="28"/>
                <w:szCs w:val="28"/>
              </w:rPr>
              <w:t>费</w:t>
            </w:r>
          </w:p>
        </w:tc>
        <w:tc>
          <w:tcPr>
            <w:tcW w:w="2835" w:type="dxa"/>
          </w:tcPr>
          <w:p w:rsidR="006B75BC" w:rsidRPr="00645B82" w:rsidRDefault="006B75BC" w:rsidP="006B75BC">
            <w:pPr>
              <w:spacing w:beforeLines="50"/>
              <w:ind w:leftChars="-30" w:left="31680" w:hangingChars="27" w:firstLine="31680"/>
              <w:jc w:val="center"/>
              <w:rPr>
                <w:rFonts w:ascii="Times New Roman" w:hAnsi="Times New Roman" w:cs="Times New Roman"/>
                <w:sz w:val="24"/>
                <w:szCs w:val="24"/>
              </w:rPr>
            </w:pPr>
            <w:r w:rsidRPr="00C83085">
              <w:rPr>
                <w:sz w:val="24"/>
                <w:szCs w:val="24"/>
              </w:rPr>
              <w:t>35</w:t>
            </w:r>
            <w:r w:rsidRPr="00C83085">
              <w:rPr>
                <w:rFonts w:cs="宋体" w:hint="eastAsia"/>
                <w:sz w:val="24"/>
                <w:szCs w:val="24"/>
              </w:rPr>
              <w:t>万元</w:t>
            </w:r>
          </w:p>
        </w:tc>
      </w:tr>
      <w:tr w:rsidR="006B75BC" w:rsidRPr="00B15857">
        <w:tc>
          <w:tcPr>
            <w:tcW w:w="1844" w:type="dxa"/>
          </w:tcPr>
          <w:p w:rsidR="006B75BC" w:rsidRPr="00B15857" w:rsidRDefault="006B75BC" w:rsidP="005C5CF6">
            <w:pPr>
              <w:jc w:val="center"/>
              <w:rPr>
                <w:rFonts w:cs="Times New Roman"/>
                <w:sz w:val="28"/>
                <w:szCs w:val="28"/>
              </w:rPr>
            </w:pPr>
            <w:r w:rsidRPr="00B15857">
              <w:rPr>
                <w:rFonts w:cs="宋体" w:hint="eastAsia"/>
                <w:sz w:val="28"/>
                <w:szCs w:val="28"/>
              </w:rPr>
              <w:t>项目组成员</w:t>
            </w:r>
          </w:p>
        </w:tc>
        <w:tc>
          <w:tcPr>
            <w:tcW w:w="7371" w:type="dxa"/>
            <w:gridSpan w:val="3"/>
          </w:tcPr>
          <w:p w:rsidR="006B75BC" w:rsidRPr="00B15857" w:rsidRDefault="006B75BC" w:rsidP="006B75BC">
            <w:pPr>
              <w:spacing w:beforeLines="50"/>
              <w:ind w:leftChars="-30" w:left="31680" w:hangingChars="27" w:firstLine="31680"/>
              <w:rPr>
                <w:rFonts w:cs="Times New Roman"/>
                <w:sz w:val="28"/>
                <w:szCs w:val="28"/>
              </w:rPr>
            </w:pPr>
            <w:r w:rsidRPr="00645B82">
              <w:rPr>
                <w:rFonts w:ascii="Times New Roman" w:hAnsi="Times New Roman" w:cs="宋体" w:hint="eastAsia"/>
                <w:sz w:val="24"/>
                <w:szCs w:val="24"/>
              </w:rPr>
              <w:t>邓桂馨、郭勇、刘云海、王灏、常迪、李扬、田宇婧</w:t>
            </w:r>
          </w:p>
        </w:tc>
      </w:tr>
      <w:tr w:rsidR="006B75BC" w:rsidRPr="00B15857">
        <w:trPr>
          <w:trHeight w:val="8884"/>
        </w:trPr>
        <w:tc>
          <w:tcPr>
            <w:tcW w:w="9215" w:type="dxa"/>
            <w:gridSpan w:val="4"/>
          </w:tcPr>
          <w:p w:rsidR="006B75BC" w:rsidRDefault="006B75BC" w:rsidP="00D5446E">
            <w:pPr>
              <w:jc w:val="center"/>
              <w:rPr>
                <w:rFonts w:cs="Times New Roman"/>
                <w:sz w:val="30"/>
                <w:szCs w:val="30"/>
              </w:rPr>
            </w:pPr>
            <w:r w:rsidRPr="001A1581">
              <w:rPr>
                <w:rFonts w:cs="宋体" w:hint="eastAsia"/>
                <w:sz w:val="30"/>
                <w:szCs w:val="30"/>
              </w:rPr>
              <w:t>成果简介（限</w:t>
            </w:r>
            <w:r w:rsidRPr="001A1581">
              <w:rPr>
                <w:sz w:val="30"/>
                <w:szCs w:val="30"/>
              </w:rPr>
              <w:t>300</w:t>
            </w:r>
            <w:r w:rsidRPr="001A1581">
              <w:rPr>
                <w:rFonts w:cs="宋体" w:hint="eastAsia"/>
                <w:sz w:val="30"/>
                <w:szCs w:val="30"/>
              </w:rPr>
              <w:t>字以内）</w:t>
            </w:r>
          </w:p>
          <w:p w:rsidR="006B75BC" w:rsidRPr="00B15857" w:rsidRDefault="006B75BC" w:rsidP="00D5446E">
            <w:pPr>
              <w:rPr>
                <w:rFonts w:cs="Times New Roman"/>
                <w:sz w:val="28"/>
                <w:szCs w:val="28"/>
              </w:rPr>
            </w:pPr>
          </w:p>
          <w:p w:rsidR="006B75BC" w:rsidRPr="00B15857" w:rsidRDefault="006B75BC" w:rsidP="006B75BC">
            <w:pPr>
              <w:autoSpaceDE w:val="0"/>
              <w:autoSpaceDN w:val="0"/>
              <w:snapToGrid w:val="0"/>
              <w:spacing w:line="360" w:lineRule="auto"/>
              <w:ind w:leftChars="67" w:left="31680" w:rightChars="107" w:right="31680" w:firstLineChars="236" w:firstLine="31680"/>
              <w:rPr>
                <w:rFonts w:ascii="Times New Roman" w:hAnsi="Times New Roman" w:cs="Times New Roman"/>
                <w:sz w:val="28"/>
                <w:szCs w:val="28"/>
              </w:rPr>
            </w:pPr>
            <w:r w:rsidRPr="005A0029">
              <w:rPr>
                <w:rFonts w:ascii="Times New Roman" w:hAnsi="宋体" w:cs="宋体" w:hint="eastAsia"/>
                <w:color w:val="000000"/>
                <w:sz w:val="24"/>
                <w:szCs w:val="24"/>
              </w:rPr>
              <w:t>本研究采用半定量</w:t>
            </w:r>
            <w:r w:rsidRPr="005A0029">
              <w:rPr>
                <w:rFonts w:ascii="Times New Roman" w:hAnsi="宋体" w:cs="Times New Roman"/>
                <w:color w:val="000000"/>
                <w:sz w:val="24"/>
                <w:szCs w:val="24"/>
              </w:rPr>
              <w:t>PCR</w:t>
            </w:r>
            <w:r w:rsidRPr="005A0029">
              <w:rPr>
                <w:rFonts w:ascii="Times New Roman" w:hAnsi="宋体" w:cs="宋体" w:hint="eastAsia"/>
                <w:color w:val="000000"/>
                <w:sz w:val="24"/>
                <w:szCs w:val="24"/>
              </w:rPr>
              <w:t>，</w:t>
            </w:r>
            <w:r w:rsidRPr="005A0029">
              <w:rPr>
                <w:rFonts w:ascii="Times New Roman" w:hAnsi="宋体" w:cs="Times New Roman"/>
                <w:color w:val="000000"/>
                <w:sz w:val="24"/>
                <w:szCs w:val="24"/>
              </w:rPr>
              <w:t>CONFOCAl</w:t>
            </w:r>
            <w:r w:rsidRPr="005A0029">
              <w:rPr>
                <w:rFonts w:ascii="Times New Roman" w:hAnsi="宋体" w:cs="宋体" w:hint="eastAsia"/>
                <w:color w:val="000000"/>
                <w:sz w:val="24"/>
                <w:szCs w:val="24"/>
              </w:rPr>
              <w:t>检测等方法，以正常本交的绵羊体内早期、晚期和孵化囊胚中</w:t>
            </w:r>
            <w:r w:rsidRPr="005A0029">
              <w:rPr>
                <w:rFonts w:ascii="Times New Roman" w:hAnsi="宋体" w:cs="Times New Roman"/>
                <w:color w:val="000000"/>
                <w:sz w:val="24"/>
                <w:szCs w:val="24"/>
              </w:rPr>
              <w:t>IFN</w:t>
            </w:r>
            <w:r w:rsidRPr="005A0029">
              <w:rPr>
                <w:rFonts w:ascii="Times New Roman" w:hAnsi="宋体" w:cs="宋体" w:hint="eastAsia"/>
                <w:color w:val="000000"/>
                <w:sz w:val="24"/>
                <w:szCs w:val="24"/>
              </w:rPr>
              <w:t>τ基因在转录和翻译水平相应变化为对照，系统比较经孤雌激活处理和体外受精处理获得的相应发育阶段胚胎中该基因的表达变化；并采用与子宫内膜上皮细胞共培养的方式，检测这些胚胎在体外培养体系中对子宫内膜上皮细胞分泌</w:t>
            </w:r>
            <w:r w:rsidRPr="005A0029">
              <w:rPr>
                <w:rFonts w:ascii="Times New Roman" w:hAnsi="宋体" w:cs="Times New Roman"/>
                <w:color w:val="000000"/>
                <w:sz w:val="24"/>
                <w:szCs w:val="24"/>
              </w:rPr>
              <w:t>Galectin15</w:t>
            </w:r>
            <w:r w:rsidRPr="005A0029">
              <w:rPr>
                <w:rFonts w:ascii="Times New Roman" w:hAnsi="宋体" w:cs="宋体" w:hint="eastAsia"/>
                <w:color w:val="000000"/>
                <w:sz w:val="24"/>
                <w:szCs w:val="24"/>
              </w:rPr>
              <w:t>的诱导效果。研究结果表明：不同绵羊早期胚胎（主要是晚期和孵化囊胚）的惟一胚胎源信号：</w:t>
            </w:r>
            <w:r w:rsidRPr="005A0029">
              <w:rPr>
                <w:rFonts w:ascii="Times New Roman" w:hAnsi="宋体" w:cs="Times New Roman"/>
                <w:color w:val="000000"/>
                <w:sz w:val="24"/>
                <w:szCs w:val="24"/>
              </w:rPr>
              <w:t>IFN</w:t>
            </w:r>
            <w:r w:rsidRPr="005A0029">
              <w:rPr>
                <w:rFonts w:ascii="Times New Roman" w:hAnsi="宋体" w:cs="宋体" w:hint="eastAsia"/>
                <w:color w:val="000000"/>
                <w:sz w:val="24"/>
                <w:szCs w:val="24"/>
              </w:rPr>
              <w:t>τ基因的表达存在一定差异，而不同绵羊早期胚胎对绵羊子宫内膜上皮细胞分泌的</w:t>
            </w:r>
            <w:r w:rsidRPr="005A0029">
              <w:rPr>
                <w:rFonts w:ascii="Times New Roman" w:hAnsi="宋体" w:cs="Times New Roman"/>
                <w:color w:val="000000"/>
                <w:sz w:val="24"/>
                <w:szCs w:val="24"/>
              </w:rPr>
              <w:t>Galectin15</w:t>
            </w:r>
            <w:r w:rsidRPr="005A0029">
              <w:rPr>
                <w:rFonts w:ascii="Times New Roman" w:hAnsi="宋体" w:cs="宋体" w:hint="eastAsia"/>
                <w:color w:val="000000"/>
                <w:sz w:val="24"/>
                <w:szCs w:val="24"/>
              </w:rPr>
              <w:t>诱导效果也存在差异，其可能与绵羊体外胚胎移植妊娠率较低有关，可为今后的无损伤高效评价绵羊胚胎质量提供新的参考途径。此外，发表文章</w:t>
            </w:r>
            <w:r w:rsidRPr="005A0029">
              <w:rPr>
                <w:rFonts w:ascii="Times New Roman" w:hAnsi="宋体" w:cs="Times New Roman"/>
                <w:color w:val="000000"/>
                <w:sz w:val="24"/>
                <w:szCs w:val="24"/>
              </w:rPr>
              <w:t>6</w:t>
            </w:r>
            <w:r w:rsidRPr="005A0029">
              <w:rPr>
                <w:rFonts w:ascii="Times New Roman" w:hAnsi="宋体" w:cs="宋体" w:hint="eastAsia"/>
                <w:color w:val="000000"/>
                <w:sz w:val="24"/>
                <w:szCs w:val="24"/>
              </w:rPr>
              <w:t>篇，申请专利</w:t>
            </w:r>
            <w:r w:rsidRPr="005A0029">
              <w:rPr>
                <w:rFonts w:ascii="Times New Roman" w:hAnsi="宋体" w:cs="Times New Roman"/>
                <w:color w:val="000000"/>
                <w:sz w:val="24"/>
                <w:szCs w:val="24"/>
              </w:rPr>
              <w:t>2</w:t>
            </w:r>
            <w:r w:rsidRPr="005A0029">
              <w:rPr>
                <w:rFonts w:ascii="Times New Roman" w:hAnsi="宋体" w:cs="宋体" w:hint="eastAsia"/>
                <w:color w:val="000000"/>
                <w:sz w:val="24"/>
                <w:szCs w:val="24"/>
              </w:rPr>
              <w:t>项。</w:t>
            </w:r>
          </w:p>
        </w:tc>
      </w:tr>
    </w:tbl>
    <w:p w:rsidR="006B75BC" w:rsidRDefault="006B75BC" w:rsidP="00D92511">
      <w:pPr>
        <w:spacing w:line="480" w:lineRule="auto"/>
        <w:rPr>
          <w:rFonts w:ascii="Times New Roman" w:hAnsi="Times New Roman" w:cs="Times New Roman"/>
          <w:sz w:val="24"/>
          <w:szCs w:val="24"/>
        </w:rPr>
      </w:pPr>
    </w:p>
    <w:p w:rsidR="006B75BC" w:rsidRDefault="006B75BC">
      <w:pPr>
        <w:rPr>
          <w:rFonts w:cs="Times New Roman"/>
        </w:rPr>
      </w:pPr>
      <w:bookmarkStart w:id="0" w:name="_GoBack"/>
      <w:bookmarkEnd w:id="0"/>
    </w:p>
    <w:sectPr w:rsidR="006B75BC" w:rsidSect="00DE3B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5BC" w:rsidRDefault="006B75BC" w:rsidP="00D92511">
      <w:pPr>
        <w:rPr>
          <w:rFonts w:cs="Times New Roman"/>
        </w:rPr>
      </w:pPr>
      <w:r>
        <w:rPr>
          <w:rFonts w:cs="Times New Roman"/>
        </w:rPr>
        <w:separator/>
      </w:r>
    </w:p>
  </w:endnote>
  <w:endnote w:type="continuationSeparator" w:id="1">
    <w:p w:rsidR="006B75BC" w:rsidRDefault="006B75BC" w:rsidP="00D9251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5BC" w:rsidRDefault="006B75BC" w:rsidP="00D92511">
      <w:pPr>
        <w:rPr>
          <w:rFonts w:cs="Times New Roman"/>
        </w:rPr>
      </w:pPr>
      <w:r>
        <w:rPr>
          <w:rFonts w:cs="Times New Roman"/>
        </w:rPr>
        <w:separator/>
      </w:r>
    </w:p>
  </w:footnote>
  <w:footnote w:type="continuationSeparator" w:id="1">
    <w:p w:rsidR="006B75BC" w:rsidRDefault="006B75BC" w:rsidP="00D9251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C23"/>
    <w:rsid w:val="00021C23"/>
    <w:rsid w:val="000D3993"/>
    <w:rsid w:val="0010623A"/>
    <w:rsid w:val="0019413E"/>
    <w:rsid w:val="001A1581"/>
    <w:rsid w:val="003115C7"/>
    <w:rsid w:val="003B0F52"/>
    <w:rsid w:val="003C51E0"/>
    <w:rsid w:val="004A05EE"/>
    <w:rsid w:val="004E1957"/>
    <w:rsid w:val="004F410D"/>
    <w:rsid w:val="005A0029"/>
    <w:rsid w:val="005C5CF6"/>
    <w:rsid w:val="006214DC"/>
    <w:rsid w:val="00645B82"/>
    <w:rsid w:val="0069522F"/>
    <w:rsid w:val="006B75BC"/>
    <w:rsid w:val="006C2814"/>
    <w:rsid w:val="00762534"/>
    <w:rsid w:val="007644DF"/>
    <w:rsid w:val="007723EB"/>
    <w:rsid w:val="007E09BC"/>
    <w:rsid w:val="00814917"/>
    <w:rsid w:val="00894FD5"/>
    <w:rsid w:val="008C7709"/>
    <w:rsid w:val="00AD53B5"/>
    <w:rsid w:val="00B157FE"/>
    <w:rsid w:val="00B15857"/>
    <w:rsid w:val="00B777D1"/>
    <w:rsid w:val="00BA6C75"/>
    <w:rsid w:val="00C83085"/>
    <w:rsid w:val="00C859E8"/>
    <w:rsid w:val="00CA5261"/>
    <w:rsid w:val="00D5446E"/>
    <w:rsid w:val="00D92511"/>
    <w:rsid w:val="00DE3B0C"/>
    <w:rsid w:val="00E07240"/>
    <w:rsid w:val="00E346D4"/>
    <w:rsid w:val="00E40C67"/>
    <w:rsid w:val="00E81CB3"/>
    <w:rsid w:val="00EF25BE"/>
    <w:rsid w:val="00F43CE7"/>
    <w:rsid w:val="00FE00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1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5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92511"/>
    <w:rPr>
      <w:rFonts w:cs="Times New Roman"/>
      <w:sz w:val="18"/>
      <w:szCs w:val="18"/>
    </w:rPr>
  </w:style>
  <w:style w:type="paragraph" w:styleId="Footer">
    <w:name w:val="footer"/>
    <w:basedOn w:val="Normal"/>
    <w:link w:val="FooterChar"/>
    <w:uiPriority w:val="99"/>
    <w:rsid w:val="00D925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251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79</Words>
  <Characters>455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基金类项目—成果简介</dc:title>
  <dc:subject/>
  <dc:creator>bruce</dc:creator>
  <cp:keywords/>
  <dc:description/>
  <cp:lastModifiedBy>微软用户</cp:lastModifiedBy>
  <cp:revision>14</cp:revision>
  <dcterms:created xsi:type="dcterms:W3CDTF">2014-03-25T00:07:00Z</dcterms:created>
  <dcterms:modified xsi:type="dcterms:W3CDTF">2014-03-31T23:53:00Z</dcterms:modified>
</cp:coreProperties>
</file>