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1F" w:rsidRPr="001F581F" w:rsidRDefault="001F581F" w:rsidP="001F581F">
      <w:pPr>
        <w:widowControl/>
        <w:shd w:val="clear" w:color="auto" w:fill="FFFFFF"/>
        <w:spacing w:line="495" w:lineRule="atLeast"/>
        <w:jc w:val="center"/>
        <w:rPr>
          <w:rFonts w:ascii="宋体" w:eastAsia="宋体" w:hAnsi="宋体" w:cs="宋体"/>
          <w:b/>
          <w:bCs/>
          <w:color w:val="D30101"/>
          <w:kern w:val="0"/>
          <w:sz w:val="27"/>
          <w:szCs w:val="27"/>
        </w:rPr>
      </w:pPr>
      <w:r w:rsidRPr="001F581F">
        <w:rPr>
          <w:rFonts w:ascii="宋体" w:eastAsia="宋体" w:hAnsi="宋体" w:cs="宋体" w:hint="eastAsia"/>
          <w:b/>
          <w:bCs/>
          <w:color w:val="D30101"/>
          <w:kern w:val="0"/>
          <w:sz w:val="27"/>
          <w:szCs w:val="27"/>
        </w:rPr>
        <w:t>《国家重点研发计划重点专项项目预算编报指南》解读</w:t>
      </w:r>
    </w:p>
    <w:p w:rsidR="001F581F" w:rsidRPr="001F581F" w:rsidRDefault="001F581F" w:rsidP="001F581F">
      <w:pPr>
        <w:widowControl/>
        <w:jc w:val="center"/>
        <w:rPr>
          <w:rFonts w:ascii="ˎ̥" w:eastAsia="宋体" w:hAnsi="ˎ̥" w:cs="宋体" w:hint="eastAsia"/>
          <w:color w:val="444444"/>
          <w:kern w:val="0"/>
          <w:sz w:val="18"/>
          <w:szCs w:val="18"/>
        </w:rPr>
      </w:pPr>
      <w:r>
        <w:rPr>
          <w:rFonts w:ascii="ˎ̥" w:eastAsia="宋体" w:hAnsi="ˎ̥" w:cs="宋体" w:hint="eastAsia"/>
          <w:noProof/>
          <w:color w:val="444444"/>
          <w:kern w:val="0"/>
          <w:sz w:val="18"/>
          <w:szCs w:val="18"/>
        </w:rPr>
        <w:drawing>
          <wp:inline distT="0" distB="0" distL="0" distR="0">
            <wp:extent cx="8477250" cy="104775"/>
            <wp:effectExtent l="0" t="0" r="0" b="9525"/>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0" cy="104775"/>
                    </a:xfrm>
                    <a:prstGeom prst="rect">
                      <a:avLst/>
                    </a:prstGeom>
                    <a:noFill/>
                    <a:ln>
                      <a:noFill/>
                    </a:ln>
                  </pic:spPr>
                </pic:pic>
              </a:graphicData>
            </a:graphic>
          </wp:inline>
        </w:drawing>
      </w:r>
    </w:p>
    <w:p w:rsidR="001F581F" w:rsidRPr="001F581F" w:rsidRDefault="001F581F" w:rsidP="001F581F">
      <w:pPr>
        <w:widowControl/>
        <w:shd w:val="clear" w:color="auto" w:fill="FFFFFF"/>
        <w:jc w:val="center"/>
        <w:rPr>
          <w:rFonts w:ascii="ˎ̥" w:eastAsia="宋体" w:hAnsi="ˎ̥" w:cs="宋体"/>
          <w:color w:val="777777"/>
          <w:kern w:val="0"/>
          <w:sz w:val="18"/>
          <w:szCs w:val="18"/>
        </w:rPr>
      </w:pPr>
      <w:r w:rsidRPr="001F581F">
        <w:rPr>
          <w:rFonts w:ascii="ˎ̥" w:eastAsia="宋体" w:hAnsi="ˎ̥" w:cs="宋体"/>
          <w:color w:val="777777"/>
          <w:kern w:val="0"/>
          <w:sz w:val="18"/>
          <w:szCs w:val="18"/>
        </w:rPr>
        <w:t>日期：</w:t>
      </w:r>
      <w:r w:rsidRPr="001F581F">
        <w:rPr>
          <w:rFonts w:ascii="ˎ̥" w:eastAsia="宋体" w:hAnsi="ˎ̥" w:cs="宋体"/>
          <w:color w:val="777777"/>
          <w:kern w:val="0"/>
          <w:sz w:val="18"/>
          <w:szCs w:val="18"/>
        </w:rPr>
        <w:t>2017</w:t>
      </w:r>
      <w:r w:rsidRPr="001F581F">
        <w:rPr>
          <w:rFonts w:ascii="ˎ̥" w:eastAsia="宋体" w:hAnsi="ˎ̥" w:cs="宋体"/>
          <w:color w:val="777777"/>
          <w:kern w:val="0"/>
          <w:sz w:val="18"/>
          <w:szCs w:val="18"/>
        </w:rPr>
        <w:t>年</w:t>
      </w:r>
      <w:r w:rsidRPr="001F581F">
        <w:rPr>
          <w:rFonts w:ascii="ˎ̥" w:eastAsia="宋体" w:hAnsi="ˎ̥" w:cs="宋体"/>
          <w:color w:val="777777"/>
          <w:kern w:val="0"/>
          <w:sz w:val="18"/>
          <w:szCs w:val="18"/>
        </w:rPr>
        <w:t>09</w:t>
      </w:r>
      <w:r w:rsidRPr="001F581F">
        <w:rPr>
          <w:rFonts w:ascii="ˎ̥" w:eastAsia="宋体" w:hAnsi="ˎ̥" w:cs="宋体"/>
          <w:color w:val="777777"/>
          <w:kern w:val="0"/>
          <w:sz w:val="18"/>
          <w:szCs w:val="18"/>
        </w:rPr>
        <w:t>月</w:t>
      </w:r>
      <w:r w:rsidRPr="001F581F">
        <w:rPr>
          <w:rFonts w:ascii="ˎ̥" w:eastAsia="宋体" w:hAnsi="ˎ̥" w:cs="宋体"/>
          <w:color w:val="777777"/>
          <w:kern w:val="0"/>
          <w:sz w:val="18"/>
          <w:szCs w:val="18"/>
        </w:rPr>
        <w:t>29</w:t>
      </w:r>
      <w:r w:rsidRPr="001F581F">
        <w:rPr>
          <w:rFonts w:ascii="ˎ̥" w:eastAsia="宋体" w:hAnsi="ˎ̥" w:cs="宋体"/>
          <w:color w:val="777777"/>
          <w:kern w:val="0"/>
          <w:sz w:val="18"/>
          <w:szCs w:val="18"/>
        </w:rPr>
        <w:t>日</w:t>
      </w:r>
      <w:r w:rsidRPr="001F581F">
        <w:rPr>
          <w:rFonts w:ascii="ˎ̥" w:eastAsia="宋体" w:hAnsi="ˎ̥" w:cs="宋体"/>
          <w:color w:val="777777"/>
          <w:kern w:val="0"/>
          <w:sz w:val="18"/>
          <w:szCs w:val="18"/>
        </w:rPr>
        <w:t xml:space="preserve"> </w:t>
      </w:r>
      <w:r w:rsidRPr="001F581F">
        <w:rPr>
          <w:rFonts w:ascii="ˎ̥" w:eastAsia="宋体" w:hAnsi="ˎ̥" w:cs="宋体"/>
          <w:color w:val="777777"/>
          <w:kern w:val="0"/>
          <w:sz w:val="18"/>
          <w:szCs w:val="18"/>
        </w:rPr>
        <w:pict/>
      </w:r>
      <w:r w:rsidRPr="001F581F">
        <w:rPr>
          <w:rFonts w:ascii="ˎ̥" w:eastAsia="宋体" w:hAnsi="ˎ̥" w:cs="宋体"/>
          <w:color w:val="777777"/>
          <w:kern w:val="0"/>
          <w:sz w:val="18"/>
          <w:szCs w:val="18"/>
        </w:rPr>
        <w:t>来源：科技部</w:t>
      </w:r>
      <w:r w:rsidRPr="001F581F">
        <w:rPr>
          <w:rFonts w:ascii="ˎ̥" w:eastAsia="宋体" w:hAnsi="ˎ̥" w:cs="宋体"/>
          <w:color w:val="777777"/>
          <w:kern w:val="0"/>
          <w:sz w:val="18"/>
          <w:szCs w:val="18"/>
        </w:rPr>
        <w:t xml:space="preserve"> </w:t>
      </w:r>
    </w:p>
    <w:p w:rsidR="001F581F" w:rsidRPr="001F581F" w:rsidRDefault="001F581F" w:rsidP="001F581F">
      <w:pPr>
        <w:widowControl/>
        <w:shd w:val="clear" w:color="auto" w:fill="FFFFFF"/>
        <w:spacing w:line="405" w:lineRule="atLeast"/>
        <w:jc w:val="left"/>
        <w:rPr>
          <w:rFonts w:ascii="ˎ̥" w:eastAsia="宋体" w:hAnsi="ˎ̥" w:cs="宋体"/>
          <w:color w:val="2A2A2A"/>
          <w:kern w:val="0"/>
          <w:sz w:val="23"/>
          <w:szCs w:val="23"/>
        </w:rPr>
      </w:pPr>
      <w:bookmarkStart w:id="0" w:name="_GoBack"/>
      <w:bookmarkEnd w:id="0"/>
      <w:r w:rsidRPr="001F581F">
        <w:rPr>
          <w:rFonts w:ascii="ˎ̥" w:eastAsia="宋体" w:hAnsi="ˎ̥" w:cs="宋体"/>
          <w:color w:val="2A2A2A"/>
          <w:kern w:val="0"/>
          <w:sz w:val="23"/>
          <w:szCs w:val="23"/>
        </w:rPr>
        <w:t>为落实《关于改进加强中央财政科研项目和资金管理的若干意见》（国发〔</w:t>
      </w:r>
      <w:r w:rsidRPr="001F581F">
        <w:rPr>
          <w:rFonts w:ascii="ˎ̥" w:eastAsia="宋体" w:hAnsi="ˎ̥" w:cs="宋体"/>
          <w:color w:val="2A2A2A"/>
          <w:kern w:val="0"/>
          <w:sz w:val="23"/>
          <w:szCs w:val="23"/>
        </w:rPr>
        <w:t>2014</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11</w:t>
      </w:r>
      <w:r w:rsidRPr="001F581F">
        <w:rPr>
          <w:rFonts w:ascii="ˎ̥" w:eastAsia="宋体" w:hAnsi="ˎ̥" w:cs="宋体"/>
          <w:color w:val="2A2A2A"/>
          <w:kern w:val="0"/>
          <w:sz w:val="23"/>
          <w:szCs w:val="23"/>
        </w:rPr>
        <w:t>号，以下简称</w:t>
      </w:r>
      <w:r w:rsidRPr="001F581F">
        <w:rPr>
          <w:rFonts w:ascii="ˎ̥" w:eastAsia="宋体" w:hAnsi="ˎ̥" w:cs="宋体"/>
          <w:color w:val="2A2A2A"/>
          <w:kern w:val="0"/>
          <w:sz w:val="23"/>
          <w:szCs w:val="23"/>
        </w:rPr>
        <w:t>11</w:t>
      </w:r>
      <w:r w:rsidRPr="001F581F">
        <w:rPr>
          <w:rFonts w:ascii="ˎ̥" w:eastAsia="宋体" w:hAnsi="ˎ̥" w:cs="宋体"/>
          <w:color w:val="2A2A2A"/>
          <w:kern w:val="0"/>
          <w:sz w:val="23"/>
          <w:szCs w:val="23"/>
        </w:rPr>
        <w:t>号文）、《关于进一步完善中央财政科研项目资金管理等政策的若干意见》</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以下简称</w:t>
      </w:r>
      <w:r w:rsidRPr="001F581F">
        <w:rPr>
          <w:rFonts w:ascii="ˎ̥" w:eastAsia="宋体" w:hAnsi="ˎ̥" w:cs="宋体"/>
          <w:color w:val="2A2A2A"/>
          <w:kern w:val="0"/>
          <w:sz w:val="23"/>
          <w:szCs w:val="23"/>
        </w:rPr>
        <w:t>50</w:t>
      </w:r>
      <w:r w:rsidRPr="001F581F">
        <w:rPr>
          <w:rFonts w:ascii="ˎ̥" w:eastAsia="宋体" w:hAnsi="ˎ̥" w:cs="宋体"/>
          <w:color w:val="2A2A2A"/>
          <w:kern w:val="0"/>
          <w:sz w:val="23"/>
          <w:szCs w:val="23"/>
        </w:rPr>
        <w:t>号文）、《国家重点研发计划资金管理办法》（财科教〔</w:t>
      </w:r>
      <w:r w:rsidRPr="001F581F">
        <w:rPr>
          <w:rFonts w:ascii="ˎ̥" w:eastAsia="宋体" w:hAnsi="ˎ̥" w:cs="宋体"/>
          <w:color w:val="2A2A2A"/>
          <w:kern w:val="0"/>
          <w:sz w:val="23"/>
          <w:szCs w:val="23"/>
        </w:rPr>
        <w:t>2016</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113</w:t>
      </w:r>
      <w:r w:rsidRPr="001F581F">
        <w:rPr>
          <w:rFonts w:ascii="ˎ̥" w:eastAsia="宋体" w:hAnsi="ˎ̥" w:cs="宋体"/>
          <w:color w:val="2A2A2A"/>
          <w:kern w:val="0"/>
          <w:sz w:val="23"/>
          <w:szCs w:val="23"/>
        </w:rPr>
        <w:t>号，以下简称《办法》）等文件精神，规范国家重点研发计划项目预算申报工作，使科研单位和科研人员能够更好地理解项目预算申报要求，避免政策在执行过程中走样变形，我们制订了《国家重点研发计划项目预算编报指南》（以下简称《预算编报指南》）。现将《预算编报指南》的有关情况说明如下：</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一、《预算编报指南》的制订原则</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《预算编报指南》是以原</w:t>
      </w:r>
      <w:r w:rsidRPr="001F581F">
        <w:rPr>
          <w:rFonts w:ascii="ˎ̥" w:eastAsia="宋体" w:hAnsi="ˎ̥" w:cs="宋体"/>
          <w:color w:val="2A2A2A"/>
          <w:kern w:val="0"/>
          <w:sz w:val="23"/>
          <w:szCs w:val="23"/>
        </w:rPr>
        <w:t>“973”</w:t>
      </w:r>
      <w:r w:rsidRPr="001F581F">
        <w:rPr>
          <w:rFonts w:ascii="ˎ̥" w:eastAsia="宋体" w:hAnsi="ˎ̥" w:cs="宋体"/>
          <w:color w:val="2A2A2A"/>
          <w:kern w:val="0"/>
          <w:sz w:val="23"/>
          <w:szCs w:val="23"/>
        </w:rPr>
        <w:t>计划、</w:t>
      </w:r>
      <w:r w:rsidRPr="001F581F">
        <w:rPr>
          <w:rFonts w:ascii="ˎ̥" w:eastAsia="宋体" w:hAnsi="ˎ̥" w:cs="宋体"/>
          <w:color w:val="2A2A2A"/>
          <w:kern w:val="0"/>
          <w:sz w:val="23"/>
          <w:szCs w:val="23"/>
        </w:rPr>
        <w:t>“863”</w:t>
      </w:r>
      <w:r w:rsidRPr="001F581F">
        <w:rPr>
          <w:rFonts w:ascii="ˎ̥" w:eastAsia="宋体" w:hAnsi="ˎ̥" w:cs="宋体"/>
          <w:color w:val="2A2A2A"/>
          <w:kern w:val="0"/>
          <w:sz w:val="23"/>
          <w:szCs w:val="23"/>
        </w:rPr>
        <w:t>计划、国家科技支撑计划等申报使用的《国家科技计划项目概算和课题预算编报指南》（国科发财字〔</w:t>
      </w:r>
      <w:r w:rsidRPr="001F581F">
        <w:rPr>
          <w:rFonts w:ascii="ˎ̥" w:eastAsia="宋体" w:hAnsi="ˎ̥" w:cs="宋体"/>
          <w:color w:val="2A2A2A"/>
          <w:kern w:val="0"/>
          <w:sz w:val="23"/>
          <w:szCs w:val="23"/>
        </w:rPr>
        <w:t>2007</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241</w:t>
      </w:r>
      <w:r w:rsidRPr="001F581F">
        <w:rPr>
          <w:rFonts w:ascii="ˎ̥" w:eastAsia="宋体" w:hAnsi="ˎ̥" w:cs="宋体"/>
          <w:color w:val="2A2A2A"/>
          <w:kern w:val="0"/>
          <w:sz w:val="23"/>
          <w:szCs w:val="23"/>
        </w:rPr>
        <w:t>号）和</w:t>
      </w:r>
      <w:r w:rsidRPr="001F581F">
        <w:rPr>
          <w:rFonts w:ascii="ˎ̥" w:eastAsia="宋体" w:hAnsi="ˎ̥" w:cs="宋体"/>
          <w:color w:val="2A2A2A"/>
          <w:kern w:val="0"/>
          <w:sz w:val="23"/>
          <w:szCs w:val="23"/>
        </w:rPr>
        <w:t>2016</w:t>
      </w:r>
      <w:r w:rsidRPr="001F581F">
        <w:rPr>
          <w:rFonts w:ascii="ˎ̥" w:eastAsia="宋体" w:hAnsi="ˎ̥" w:cs="宋体"/>
          <w:color w:val="2A2A2A"/>
          <w:kern w:val="0"/>
          <w:sz w:val="23"/>
          <w:szCs w:val="23"/>
        </w:rPr>
        <w:t>年重点研发计划项目预算编制要求（以上统称</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原预算编报指南</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）为基础，全面梳理了新的改革要求以及预算编报过程中的常见问题，在制订起草过程中重点体现了以下原则：</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一是坚持细化实化政策的原则。根据国家科研项目资金管理政策的改革精神，在劳务费支出范围、间接费用分配、差旅会议费管理权限等方面，对</w:t>
      </w:r>
      <w:r w:rsidRPr="001F581F">
        <w:rPr>
          <w:rFonts w:ascii="ˎ̥" w:eastAsia="宋体" w:hAnsi="ˎ̥" w:cs="宋体"/>
          <w:color w:val="2A2A2A"/>
          <w:kern w:val="0"/>
          <w:sz w:val="23"/>
          <w:szCs w:val="23"/>
        </w:rPr>
        <w:t>11</w:t>
      </w:r>
      <w:r w:rsidRPr="001F581F">
        <w:rPr>
          <w:rFonts w:ascii="ˎ̥" w:eastAsia="宋体" w:hAnsi="ˎ̥" w:cs="宋体"/>
          <w:color w:val="2A2A2A"/>
          <w:kern w:val="0"/>
          <w:sz w:val="23"/>
          <w:szCs w:val="23"/>
        </w:rPr>
        <w:t>号文、</w:t>
      </w:r>
      <w:r w:rsidRPr="001F581F">
        <w:rPr>
          <w:rFonts w:ascii="ˎ̥" w:eastAsia="宋体" w:hAnsi="ˎ̥" w:cs="宋体"/>
          <w:color w:val="2A2A2A"/>
          <w:kern w:val="0"/>
          <w:sz w:val="23"/>
          <w:szCs w:val="23"/>
        </w:rPr>
        <w:t>50</w:t>
      </w:r>
      <w:r w:rsidRPr="001F581F">
        <w:rPr>
          <w:rFonts w:ascii="ˎ̥" w:eastAsia="宋体" w:hAnsi="ˎ̥" w:cs="宋体"/>
          <w:color w:val="2A2A2A"/>
          <w:kern w:val="0"/>
          <w:sz w:val="23"/>
          <w:szCs w:val="23"/>
        </w:rPr>
        <w:t>号文和《办法》的有关规定</w:t>
      </w:r>
      <w:proofErr w:type="gramStart"/>
      <w:r w:rsidRPr="001F581F">
        <w:rPr>
          <w:rFonts w:ascii="ˎ̥" w:eastAsia="宋体" w:hAnsi="ˎ̥" w:cs="宋体"/>
          <w:color w:val="2A2A2A"/>
          <w:kern w:val="0"/>
          <w:sz w:val="23"/>
          <w:szCs w:val="23"/>
        </w:rPr>
        <w:t>作出</w:t>
      </w:r>
      <w:proofErr w:type="gramEnd"/>
      <w:r w:rsidRPr="001F581F">
        <w:rPr>
          <w:rFonts w:ascii="ˎ̥" w:eastAsia="宋体" w:hAnsi="ˎ̥" w:cs="宋体"/>
          <w:color w:val="2A2A2A"/>
          <w:kern w:val="0"/>
          <w:sz w:val="23"/>
          <w:szCs w:val="23"/>
        </w:rPr>
        <w:t>细化说明和解释。</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二是坚持问题导向的原则。聚焦科技界反映原预算编报要求</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过细</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的问题，按照新的改革要求，进一步简化预算说明有关内容，调整和完善预算申报书和预算表；针对科研人员反映具体预算支出中的</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热点</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问题，如科考活动中的车辆租赁费、计算机机时费、项目（课题）结题财务审计费、临床试验费等，予以详细解释。</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三是更加契合科研实际需要的原则。通过对预算科目支出内容解释和</w:t>
      </w:r>
      <w:proofErr w:type="gramStart"/>
      <w:r w:rsidRPr="001F581F">
        <w:rPr>
          <w:rFonts w:ascii="ˎ̥" w:eastAsia="宋体" w:hAnsi="ˎ̥" w:cs="宋体"/>
          <w:color w:val="2A2A2A"/>
          <w:kern w:val="0"/>
          <w:sz w:val="23"/>
          <w:szCs w:val="23"/>
        </w:rPr>
        <w:t>例举</w:t>
      </w:r>
      <w:proofErr w:type="gramEnd"/>
      <w:r w:rsidRPr="001F581F">
        <w:rPr>
          <w:rFonts w:ascii="ˎ̥" w:eastAsia="宋体" w:hAnsi="ˎ̥" w:cs="宋体"/>
          <w:color w:val="2A2A2A"/>
          <w:kern w:val="0"/>
          <w:sz w:val="23"/>
          <w:szCs w:val="23"/>
        </w:rPr>
        <w:t>，强调预算支出应与项目（课题）任务目标密切相关，体现</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让经费为人的创造性活动服务</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的原则。</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另外，考虑到重点研发计划处于初步实施阶段，随着各项任务的深入开展，在预算支出内容和资金管理方面还可能出现新情况、新问题，预算支出具体内容将会随之做适当调整，今后还会对《预算编报指南》进行动态调整，以更好地适应新的变化和要求。</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二、预算编报要求的主要变化</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《预算编报指南》由正文和附件两部分组成，其中正文由</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第一节</w:t>
      </w:r>
      <w:r w:rsidRPr="001F581F">
        <w:rPr>
          <w:rFonts w:ascii="ˎ̥" w:eastAsia="宋体" w:hAnsi="ˎ̥" w:cs="宋体"/>
          <w:color w:val="2A2A2A"/>
          <w:kern w:val="0"/>
          <w:sz w:val="23"/>
          <w:szCs w:val="23"/>
        </w:rPr>
        <w:t xml:space="preserve"> </w:t>
      </w:r>
      <w:r w:rsidRPr="001F581F">
        <w:rPr>
          <w:rFonts w:ascii="ˎ̥" w:eastAsia="宋体" w:hAnsi="ˎ̥" w:cs="宋体"/>
          <w:color w:val="2A2A2A"/>
          <w:kern w:val="0"/>
          <w:sz w:val="23"/>
          <w:szCs w:val="23"/>
        </w:rPr>
        <w:t>项目（课题）预算的概述</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第二节</w:t>
      </w:r>
      <w:r w:rsidRPr="001F581F">
        <w:rPr>
          <w:rFonts w:ascii="ˎ̥" w:eastAsia="宋体" w:hAnsi="ˎ̥" w:cs="宋体"/>
          <w:color w:val="2A2A2A"/>
          <w:kern w:val="0"/>
          <w:sz w:val="23"/>
          <w:szCs w:val="23"/>
        </w:rPr>
        <w:t xml:space="preserve"> </w:t>
      </w:r>
      <w:r w:rsidRPr="001F581F">
        <w:rPr>
          <w:rFonts w:ascii="ˎ̥" w:eastAsia="宋体" w:hAnsi="ˎ̥" w:cs="宋体"/>
          <w:color w:val="2A2A2A"/>
          <w:kern w:val="0"/>
          <w:sz w:val="23"/>
          <w:szCs w:val="23"/>
        </w:rPr>
        <w:t>项目（课题）预算的政策依据和编报原则、总体要求</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第三节</w:t>
      </w:r>
      <w:r w:rsidRPr="001F581F">
        <w:rPr>
          <w:rFonts w:ascii="ˎ̥" w:eastAsia="宋体" w:hAnsi="ˎ̥" w:cs="宋体"/>
          <w:color w:val="2A2A2A"/>
          <w:kern w:val="0"/>
          <w:sz w:val="23"/>
          <w:szCs w:val="23"/>
        </w:rPr>
        <w:t xml:space="preserve"> </w:t>
      </w:r>
      <w:r w:rsidRPr="001F581F">
        <w:rPr>
          <w:rFonts w:ascii="ˎ̥" w:eastAsia="宋体" w:hAnsi="ˎ̥" w:cs="宋体"/>
          <w:color w:val="2A2A2A"/>
          <w:kern w:val="0"/>
          <w:sz w:val="23"/>
          <w:szCs w:val="23"/>
        </w:rPr>
        <w:t>课题预算说明的主要内容</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第四节</w:t>
      </w:r>
      <w:r w:rsidRPr="001F581F">
        <w:rPr>
          <w:rFonts w:ascii="ˎ̥" w:eastAsia="宋体" w:hAnsi="ˎ̥" w:cs="宋体"/>
          <w:color w:val="2A2A2A"/>
          <w:kern w:val="0"/>
          <w:sz w:val="23"/>
          <w:szCs w:val="23"/>
        </w:rPr>
        <w:t xml:space="preserve"> </w:t>
      </w:r>
      <w:r w:rsidRPr="001F581F">
        <w:rPr>
          <w:rFonts w:ascii="ˎ̥" w:eastAsia="宋体" w:hAnsi="ˎ̥" w:cs="宋体"/>
          <w:color w:val="2A2A2A"/>
          <w:kern w:val="0"/>
          <w:sz w:val="23"/>
          <w:szCs w:val="23"/>
        </w:rPr>
        <w:t>项目预算申报材料上报要求</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等四节构成，</w:t>
      </w:r>
      <w:r w:rsidRPr="001F581F">
        <w:rPr>
          <w:rFonts w:ascii="ˎ̥" w:eastAsia="宋体" w:hAnsi="ˎ̥" w:cs="宋体"/>
          <w:color w:val="2A2A2A"/>
          <w:kern w:val="0"/>
          <w:sz w:val="23"/>
          <w:szCs w:val="23"/>
        </w:rPr>
        <w:t>2</w:t>
      </w:r>
      <w:r w:rsidRPr="001F581F">
        <w:rPr>
          <w:rFonts w:ascii="ˎ̥" w:eastAsia="宋体" w:hAnsi="ˎ̥" w:cs="宋体"/>
          <w:color w:val="2A2A2A"/>
          <w:kern w:val="0"/>
          <w:sz w:val="23"/>
          <w:szCs w:val="23"/>
        </w:rPr>
        <w:t>个附件为</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《国家重点研发计划项目预算申报书》（以下简称《预算申报书》）</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和</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《国家重点研发计划项目预算申报书》填表说明</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（一）进一步简化了预算编报要求，减轻预算编制负担。</w:t>
      </w:r>
      <w:r w:rsidRPr="001F581F">
        <w:rPr>
          <w:rFonts w:ascii="ˎ̥" w:eastAsia="宋体" w:hAnsi="ˎ̥" w:cs="宋体"/>
          <w:color w:val="2A2A2A"/>
          <w:kern w:val="0"/>
          <w:sz w:val="23"/>
          <w:szCs w:val="23"/>
        </w:rPr>
        <w:br/>
        <w:t>1</w:t>
      </w:r>
      <w:r w:rsidRPr="001F581F">
        <w:rPr>
          <w:rFonts w:ascii="ˎ̥" w:eastAsia="宋体" w:hAnsi="ˎ̥" w:cs="宋体"/>
          <w:color w:val="2A2A2A"/>
          <w:kern w:val="0"/>
          <w:sz w:val="23"/>
          <w:szCs w:val="23"/>
        </w:rPr>
        <w:t>、《预算编报指南》只要求对单位支撑条件和课题预算支出情况进行说明，取消了对单位经费安排和其他来源经费情况的说明，进一步精简说明。</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lastRenderedPageBreak/>
        <w:t>2</w:t>
      </w:r>
      <w:r w:rsidRPr="001F581F">
        <w:rPr>
          <w:rFonts w:ascii="ˎ̥" w:eastAsia="宋体" w:hAnsi="ˎ̥" w:cs="宋体"/>
          <w:color w:val="2A2A2A"/>
          <w:kern w:val="0"/>
          <w:sz w:val="23"/>
          <w:szCs w:val="23"/>
        </w:rPr>
        <w:t>、《预算编报指南》只要求对项目（课题）资金的主要预算支出进行说明，如购买主要材料、主要测试化验加工项目的费用，以及项目聘用研究人员或访问学者的劳务费等，对非主要支出简要说明。</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考虑重点研发计划项目（课题）资金体量较大等因素，《预算编报指南》将购置</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试制设备、材料、测试化验加工、出版</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文献</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信息传播</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知识产权事务费等需逐项说明的范围统一提高至</w:t>
      </w:r>
      <w:r w:rsidRPr="001F581F">
        <w:rPr>
          <w:rFonts w:ascii="ˎ̥" w:eastAsia="宋体" w:hAnsi="ˎ̥" w:cs="宋体"/>
          <w:color w:val="2A2A2A"/>
          <w:kern w:val="0"/>
          <w:sz w:val="23"/>
          <w:szCs w:val="23"/>
        </w:rPr>
        <w:t>10</w:t>
      </w:r>
      <w:r w:rsidRPr="001F581F">
        <w:rPr>
          <w:rFonts w:ascii="ˎ̥" w:eastAsia="宋体" w:hAnsi="ˎ̥" w:cs="宋体"/>
          <w:color w:val="2A2A2A"/>
          <w:kern w:val="0"/>
          <w:sz w:val="23"/>
          <w:szCs w:val="23"/>
        </w:rPr>
        <w:t>万元（含）以上，进一步精简说明。</w:t>
      </w:r>
      <w:r w:rsidRPr="001F581F">
        <w:rPr>
          <w:rFonts w:ascii="ˎ̥" w:eastAsia="宋体" w:hAnsi="ˎ̥" w:cs="宋体"/>
          <w:color w:val="2A2A2A"/>
          <w:kern w:val="0"/>
          <w:sz w:val="23"/>
          <w:szCs w:val="23"/>
        </w:rPr>
        <w:br/>
        <w:t>3</w:t>
      </w:r>
      <w:r w:rsidRPr="001F581F">
        <w:rPr>
          <w:rFonts w:ascii="ˎ̥" w:eastAsia="宋体" w:hAnsi="ˎ̥" w:cs="宋体"/>
          <w:color w:val="2A2A2A"/>
          <w:kern w:val="0"/>
          <w:sz w:val="23"/>
          <w:szCs w:val="23"/>
        </w:rPr>
        <w:t>、对于有配套资金要求的，不再要求单位在申请预算时提供配套资金来源证明文件，而是在签订正式任务书时作为附件，进一步简化预算申报手续。</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（二）进一步明确了项目（课题）的实施主体，首次要求对关联关系予以披露。</w:t>
      </w:r>
      <w:r w:rsidRPr="001F581F">
        <w:rPr>
          <w:rFonts w:ascii="ˎ̥" w:eastAsia="宋体" w:hAnsi="ˎ̥" w:cs="宋体"/>
          <w:color w:val="2A2A2A"/>
          <w:kern w:val="0"/>
          <w:sz w:val="23"/>
          <w:szCs w:val="23"/>
        </w:rPr>
        <w:br/>
        <w:t>1</w:t>
      </w:r>
      <w:r w:rsidRPr="001F581F">
        <w:rPr>
          <w:rFonts w:ascii="ˎ̥" w:eastAsia="宋体" w:hAnsi="ˎ̥" w:cs="宋体"/>
          <w:color w:val="2A2A2A"/>
          <w:kern w:val="0"/>
          <w:sz w:val="23"/>
          <w:szCs w:val="23"/>
        </w:rPr>
        <w:t>、在以往科技计划项目（课题）实施过程中，常出现申报主体与实施主体不一致问题，比如大学与其附属医院之间，集团公司或母公司与其全资或控制子公司之间，科研院与其下属的研究所之间，为此，《预算编报指南》明确了单位应按照</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谁申报项目（课题）、谁承担研究任务、谁管理使用资金</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的原则申报，避免上级单位与下级法人单位之间随意转拨资金的问题。</w:t>
      </w:r>
      <w:r w:rsidRPr="001F581F">
        <w:rPr>
          <w:rFonts w:ascii="ˎ̥" w:eastAsia="宋体" w:hAnsi="ˎ̥" w:cs="宋体"/>
          <w:color w:val="2A2A2A"/>
          <w:kern w:val="0"/>
          <w:sz w:val="23"/>
          <w:szCs w:val="23"/>
        </w:rPr>
        <w:br/>
        <w:t>2</w:t>
      </w:r>
      <w:r w:rsidRPr="001F581F">
        <w:rPr>
          <w:rFonts w:ascii="ˎ̥" w:eastAsia="宋体" w:hAnsi="ˎ̥" w:cs="宋体"/>
          <w:color w:val="2A2A2A"/>
          <w:kern w:val="0"/>
          <w:sz w:val="23"/>
          <w:szCs w:val="23"/>
        </w:rPr>
        <w:t>、为保证利益关联关系信息披露的充分性和满足实施过程管理的要求，项目牵头承担单位、课题承担单位和课题参与单位之间，以及项目负责人或课题负责人与课题参与单位存在利益关联关系的，《预算编报指南》明确了项目牵头承担单位应了解相关利益关联方的情况，利益相关方应对关联关系提前进行申明。</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（三）进一步明确了不同来源资金的管理要求，预算科目编制更有针对性。</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根据《办法》的规定，《预算编报指南》主要是规范中央财政安排的采用前补助支持方式的国家重点研发计划资金（以下简称重点研发计划资金），其他来源资金应当按照国家有关会计制度和相关资金提供方的具体要求编列，如果地方财政资金、单位自有资金或其他资金对于劳务费、间接费用等的支出范围和支出标准有具体要求的，从其要求。</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三、预算科目的主要内容解释</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《预算编报指南》正文的</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第三节</w:t>
      </w:r>
      <w:r w:rsidRPr="001F581F">
        <w:rPr>
          <w:rFonts w:ascii="ˎ̥" w:eastAsia="宋体" w:hAnsi="ˎ̥" w:cs="宋体"/>
          <w:color w:val="2A2A2A"/>
          <w:kern w:val="0"/>
          <w:sz w:val="23"/>
          <w:szCs w:val="23"/>
        </w:rPr>
        <w:t xml:space="preserve"> </w:t>
      </w:r>
      <w:r w:rsidRPr="001F581F">
        <w:rPr>
          <w:rFonts w:ascii="ˎ̥" w:eastAsia="宋体" w:hAnsi="ˎ̥" w:cs="宋体"/>
          <w:color w:val="2A2A2A"/>
          <w:kern w:val="0"/>
          <w:sz w:val="23"/>
          <w:szCs w:val="23"/>
        </w:rPr>
        <w:t>课题预算说明的主要内容</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对重点研发计划资金支出内容和范围按预算科目进行了详细说明，相关预算科目中的一些主要变化和重要内容体现如下。</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（一）设备费</w:t>
      </w:r>
      <w:r w:rsidRPr="001F581F">
        <w:rPr>
          <w:rFonts w:ascii="ˎ̥" w:eastAsia="宋体" w:hAnsi="ˎ̥" w:cs="宋体"/>
          <w:color w:val="2A2A2A"/>
          <w:kern w:val="0"/>
          <w:sz w:val="23"/>
          <w:szCs w:val="23"/>
        </w:rPr>
        <w:br/>
        <w:t>1</w:t>
      </w:r>
      <w:r w:rsidRPr="001F581F">
        <w:rPr>
          <w:rFonts w:ascii="ˎ̥" w:eastAsia="宋体" w:hAnsi="ˎ̥" w:cs="宋体"/>
          <w:color w:val="2A2A2A"/>
          <w:kern w:val="0"/>
          <w:sz w:val="23"/>
          <w:szCs w:val="23"/>
        </w:rPr>
        <w:t>、将设备改造费作为重要支出内容单列出来。在项目（课题）实施过程中，单位可能会对现有设备进行局部改造以改善提升其性能，也可能因相关设备发生损坏而需进行维修，以及因安装使用新设备而需对实验室的基础条件进行适当的改造，为此，《预算编报指南》将设备改造费作为设备费中的一项重要支出内容单列出来，并对其支出内容及编制方法进行了解释。</w:t>
      </w:r>
      <w:r w:rsidRPr="001F581F">
        <w:rPr>
          <w:rFonts w:ascii="ˎ̥" w:eastAsia="宋体" w:hAnsi="ˎ̥" w:cs="宋体"/>
          <w:color w:val="2A2A2A"/>
          <w:kern w:val="0"/>
          <w:sz w:val="23"/>
          <w:szCs w:val="23"/>
        </w:rPr>
        <w:br/>
        <w:t>2</w:t>
      </w:r>
      <w:r w:rsidRPr="001F581F">
        <w:rPr>
          <w:rFonts w:ascii="ˎ̥" w:eastAsia="宋体" w:hAnsi="ˎ̥" w:cs="宋体"/>
          <w:color w:val="2A2A2A"/>
          <w:kern w:val="0"/>
          <w:sz w:val="23"/>
          <w:szCs w:val="23"/>
        </w:rPr>
        <w:t>、考虑到项目（课题）实施过程中的特殊情况，解释和明确了试制设备费和交通工具租赁费的编列问题。试制的设备有可能是项目（课题）任务完成的最终目标产品，也可能是项目（课题）实施的过程产品，为此，《预算编报指南》专门介绍了因试制设备目的不同而应采用的不同预算编列方法；一些存在科学考察、野外实验、野外勘探任务的项目（课题），与科考活动相关的车、</w:t>
      </w:r>
      <w:r w:rsidRPr="001F581F">
        <w:rPr>
          <w:rFonts w:ascii="ˎ̥" w:eastAsia="宋体" w:hAnsi="ˎ̥" w:cs="宋体"/>
          <w:color w:val="2A2A2A"/>
          <w:kern w:val="0"/>
          <w:sz w:val="23"/>
          <w:szCs w:val="23"/>
        </w:rPr>
        <w:lastRenderedPageBreak/>
        <w:t>船、航空器等交通工具的租赁费，《预算编报指南》明确了可在设备租赁费科目中编列。</w:t>
      </w:r>
      <w:r w:rsidRPr="001F581F">
        <w:rPr>
          <w:rFonts w:ascii="ˎ̥" w:eastAsia="宋体" w:hAnsi="ˎ̥" w:cs="宋体"/>
          <w:color w:val="2A2A2A"/>
          <w:kern w:val="0"/>
          <w:sz w:val="23"/>
          <w:szCs w:val="23"/>
        </w:rPr>
        <w:t xml:space="preserve"> </w:t>
      </w:r>
      <w:r w:rsidRPr="001F581F">
        <w:rPr>
          <w:rFonts w:ascii="ˎ̥" w:eastAsia="宋体" w:hAnsi="ˎ̥" w:cs="宋体"/>
          <w:color w:val="2A2A2A"/>
          <w:kern w:val="0"/>
          <w:sz w:val="23"/>
          <w:szCs w:val="23"/>
        </w:rPr>
        <w:br/>
        <w:t xml:space="preserve">3 </w:t>
      </w:r>
      <w:r w:rsidRPr="001F581F">
        <w:rPr>
          <w:rFonts w:ascii="ˎ̥" w:eastAsia="宋体" w:hAnsi="ˎ̥" w:cs="宋体"/>
          <w:color w:val="2A2A2A"/>
          <w:kern w:val="0"/>
          <w:sz w:val="23"/>
          <w:szCs w:val="23"/>
        </w:rPr>
        <w:t>、明确了不应编列的费用支出。如属于单位自身支撑条件应具备的专用仪器设备购置费；单位自有仪器设备的使用费；生产性设备的购置费和基建设施的建造费等。</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（二）材料费</w:t>
      </w:r>
      <w:r w:rsidRPr="001F581F">
        <w:rPr>
          <w:rFonts w:ascii="ˎ̥" w:eastAsia="宋体" w:hAnsi="ˎ̥" w:cs="宋体"/>
          <w:color w:val="2A2A2A"/>
          <w:kern w:val="0"/>
          <w:sz w:val="23"/>
          <w:szCs w:val="23"/>
        </w:rPr>
        <w:br/>
        <w:t>1</w:t>
      </w:r>
      <w:r w:rsidRPr="001F581F">
        <w:rPr>
          <w:rFonts w:ascii="ˎ̥" w:eastAsia="宋体" w:hAnsi="ˎ̥" w:cs="宋体"/>
          <w:color w:val="2A2A2A"/>
          <w:kern w:val="0"/>
          <w:sz w:val="23"/>
          <w:szCs w:val="23"/>
        </w:rPr>
        <w:t>、对主要材料的概念进行了明确定义。《预算编报指南》通过举例，如新材料领域课题研发中使用的聚氨酯、农业领域课题研发中使用的尿素、先进制造领域课题研发中使用的锰钢等，单一材料预算合计达到</w:t>
      </w:r>
      <w:r w:rsidRPr="001F581F">
        <w:rPr>
          <w:rFonts w:ascii="ˎ̥" w:eastAsia="宋体" w:hAnsi="ˎ̥" w:cs="宋体"/>
          <w:color w:val="2A2A2A"/>
          <w:kern w:val="0"/>
          <w:sz w:val="23"/>
          <w:szCs w:val="23"/>
        </w:rPr>
        <w:t>10</w:t>
      </w:r>
      <w:r w:rsidRPr="001F581F">
        <w:rPr>
          <w:rFonts w:ascii="ˎ̥" w:eastAsia="宋体" w:hAnsi="ˎ̥" w:cs="宋体"/>
          <w:color w:val="2A2A2A"/>
          <w:kern w:val="0"/>
          <w:sz w:val="23"/>
          <w:szCs w:val="23"/>
        </w:rPr>
        <w:t>万元（含）即为主要材料。</w:t>
      </w:r>
      <w:r w:rsidRPr="001F581F">
        <w:rPr>
          <w:rFonts w:ascii="ˎ̥" w:eastAsia="宋体" w:hAnsi="ˎ̥" w:cs="宋体"/>
          <w:color w:val="2A2A2A"/>
          <w:kern w:val="0"/>
          <w:sz w:val="23"/>
          <w:szCs w:val="23"/>
        </w:rPr>
        <w:br/>
        <w:t>2</w:t>
      </w:r>
      <w:r w:rsidRPr="001F581F">
        <w:rPr>
          <w:rFonts w:ascii="ˎ̥" w:eastAsia="宋体" w:hAnsi="ˎ̥" w:cs="宋体"/>
          <w:color w:val="2A2A2A"/>
          <w:kern w:val="0"/>
          <w:sz w:val="23"/>
          <w:szCs w:val="23"/>
        </w:rPr>
        <w:t>、解释了材料运输、装卸、整理等费用的内容，说明了备品、备件购买方式不同而采用的不同预算编列方法。</w:t>
      </w:r>
      <w:r w:rsidRPr="001F581F">
        <w:rPr>
          <w:rFonts w:ascii="ˎ̥" w:eastAsia="宋体" w:hAnsi="ˎ̥" w:cs="宋体"/>
          <w:color w:val="2A2A2A"/>
          <w:kern w:val="0"/>
          <w:sz w:val="23"/>
          <w:szCs w:val="23"/>
        </w:rPr>
        <w:br/>
        <w:t>3</w:t>
      </w:r>
      <w:r w:rsidRPr="001F581F">
        <w:rPr>
          <w:rFonts w:ascii="ˎ̥" w:eastAsia="宋体" w:hAnsi="ˎ̥" w:cs="宋体"/>
          <w:color w:val="2A2A2A"/>
          <w:kern w:val="0"/>
          <w:sz w:val="23"/>
          <w:szCs w:val="23"/>
        </w:rPr>
        <w:t>、明确了不应编列的费用支出。考虑到重点研发计划资金重点支持项目（课题）的研发活动，不应在重点研发计划资金预算中编列用于生产经营和基本建设的材料费用。</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（三）测试化验加工费</w:t>
      </w:r>
      <w:r w:rsidRPr="001F581F">
        <w:rPr>
          <w:rFonts w:ascii="ˎ̥" w:eastAsia="宋体" w:hAnsi="ˎ̥" w:cs="宋体"/>
          <w:color w:val="2A2A2A"/>
          <w:kern w:val="0"/>
          <w:sz w:val="23"/>
          <w:szCs w:val="23"/>
        </w:rPr>
        <w:br/>
        <w:t>1</w:t>
      </w:r>
      <w:r w:rsidRPr="001F581F">
        <w:rPr>
          <w:rFonts w:ascii="ˎ̥" w:eastAsia="宋体" w:hAnsi="ˎ̥" w:cs="宋体"/>
          <w:color w:val="2A2A2A"/>
          <w:kern w:val="0"/>
          <w:sz w:val="23"/>
          <w:szCs w:val="23"/>
        </w:rPr>
        <w:t>、明确了承接测试化验加工业务的单位所具备的资质或相应能力的要求；强调了与外单位如果存在利益关联情况的披露要求；明确了软件测试费、数据加工整理费、大型计算机机时费的编列问题。</w:t>
      </w:r>
      <w:r w:rsidRPr="001F581F">
        <w:rPr>
          <w:rFonts w:ascii="ˎ̥" w:eastAsia="宋体" w:hAnsi="ˎ̥" w:cs="宋体"/>
          <w:color w:val="2A2A2A"/>
          <w:kern w:val="0"/>
          <w:sz w:val="23"/>
          <w:szCs w:val="23"/>
        </w:rPr>
        <w:br/>
        <w:t>2</w:t>
      </w:r>
      <w:r w:rsidRPr="001F581F">
        <w:rPr>
          <w:rFonts w:ascii="ˎ̥" w:eastAsia="宋体" w:hAnsi="ˎ̥" w:cs="宋体"/>
          <w:color w:val="2A2A2A"/>
          <w:kern w:val="0"/>
          <w:sz w:val="23"/>
          <w:szCs w:val="23"/>
        </w:rPr>
        <w:t>、详细解释了内部独立经济核算单位的概念和其发生测试化验加工费管理要求。《预算编报指南》通过举例，如大学内部的计算中心，科研院所内部的测试中心、检验中心，企业内部的加工中心，医院内部的检验科等，解释了内部独立经济核算单位是在统一会计制度控制下单位内部实行独立经济核算的机构或部门；明确其支出应按实际成本或内部结算价格进行结算，结算手续应符合其内部委托、内部结算有关规定。</w:t>
      </w:r>
      <w:r w:rsidRPr="001F581F">
        <w:rPr>
          <w:rFonts w:ascii="ˎ̥" w:eastAsia="宋体" w:hAnsi="ˎ̥" w:cs="宋体"/>
          <w:color w:val="2A2A2A"/>
          <w:kern w:val="0"/>
          <w:sz w:val="23"/>
          <w:szCs w:val="23"/>
        </w:rPr>
        <w:br/>
        <w:t>3</w:t>
      </w:r>
      <w:r w:rsidRPr="001F581F">
        <w:rPr>
          <w:rFonts w:ascii="ˎ̥" w:eastAsia="宋体" w:hAnsi="ˎ̥" w:cs="宋体"/>
          <w:color w:val="2A2A2A"/>
          <w:kern w:val="0"/>
          <w:sz w:val="23"/>
          <w:szCs w:val="23"/>
        </w:rPr>
        <w:t>、应由单位自己完成的任务不能以测试化验加工方式外包，其发生的相关费用，如材料费、燃料动力费、劳务费等，应在相应科目编列。</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（四）燃料动力费</w:t>
      </w:r>
      <w:r w:rsidRPr="001F581F">
        <w:rPr>
          <w:rFonts w:ascii="ˎ̥" w:eastAsia="宋体" w:hAnsi="ˎ̥" w:cs="宋体"/>
          <w:color w:val="2A2A2A"/>
          <w:kern w:val="0"/>
          <w:sz w:val="23"/>
          <w:szCs w:val="23"/>
        </w:rPr>
        <w:br/>
        <w:t>1</w:t>
      </w:r>
      <w:r w:rsidRPr="001F581F">
        <w:rPr>
          <w:rFonts w:ascii="ˎ̥" w:eastAsia="宋体" w:hAnsi="ˎ̥" w:cs="宋体"/>
          <w:color w:val="2A2A2A"/>
          <w:kern w:val="0"/>
          <w:sz w:val="23"/>
          <w:szCs w:val="23"/>
        </w:rPr>
        <w:t>、明确了无法单独装表计量的仪器设备发生燃料动力费的预算编列方法。考虑到在项目（课题）实施中，大部分仪器设备或科学装置的燃料动力费难以单独装表计量，《预算编报指南》介绍了可以按照仪器设备或装置预计使用时间和相关参数进行测算，也可以按照单位自己确定的合理分摊依据进行测算。</w:t>
      </w:r>
      <w:r w:rsidRPr="001F581F">
        <w:rPr>
          <w:rFonts w:ascii="ˎ̥" w:eastAsia="宋体" w:hAnsi="ˎ̥" w:cs="宋体"/>
          <w:color w:val="2A2A2A"/>
          <w:kern w:val="0"/>
          <w:sz w:val="23"/>
          <w:szCs w:val="23"/>
        </w:rPr>
        <w:br/>
        <w:t>2</w:t>
      </w:r>
      <w:r w:rsidRPr="001F581F">
        <w:rPr>
          <w:rFonts w:ascii="ˎ̥" w:eastAsia="宋体" w:hAnsi="ˎ̥" w:cs="宋体"/>
          <w:color w:val="2A2A2A"/>
          <w:kern w:val="0"/>
          <w:sz w:val="23"/>
          <w:szCs w:val="23"/>
        </w:rPr>
        <w:t>、因科考任务而发生的车、船、航空器的燃油费用，可在本科目编列。</w:t>
      </w:r>
      <w:r w:rsidRPr="001F581F">
        <w:rPr>
          <w:rFonts w:ascii="ˎ̥" w:eastAsia="宋体" w:hAnsi="ˎ̥" w:cs="宋体"/>
          <w:color w:val="2A2A2A"/>
          <w:kern w:val="0"/>
          <w:sz w:val="23"/>
          <w:szCs w:val="23"/>
        </w:rPr>
        <w:br/>
        <w:t>3</w:t>
      </w:r>
      <w:r w:rsidRPr="001F581F">
        <w:rPr>
          <w:rFonts w:ascii="ˎ̥" w:eastAsia="宋体" w:hAnsi="ˎ̥" w:cs="宋体"/>
          <w:color w:val="2A2A2A"/>
          <w:kern w:val="0"/>
          <w:sz w:val="23"/>
          <w:szCs w:val="23"/>
        </w:rPr>
        <w:t>、明确了不应编列的费用支出。因重点研发计划资金的间接费用已经涵盖了单位为项目（课题）实施提供的房屋占用，日常水、电、气、暖消耗等，为避免重复列支，单位的日常水、电、气、暖消耗等费用应由间接费用解决。</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（五）出版</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文献</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信息传播</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知识产权事务费</w:t>
      </w:r>
      <w:r w:rsidRPr="001F581F">
        <w:rPr>
          <w:rFonts w:ascii="ˎ̥" w:eastAsia="宋体" w:hAnsi="ˎ̥" w:cs="宋体"/>
          <w:color w:val="2A2A2A"/>
          <w:kern w:val="0"/>
          <w:sz w:val="23"/>
          <w:szCs w:val="23"/>
        </w:rPr>
        <w:br/>
        <w:t>1</w:t>
      </w:r>
      <w:r w:rsidRPr="001F581F">
        <w:rPr>
          <w:rFonts w:ascii="ˎ̥" w:eastAsia="宋体" w:hAnsi="ˎ̥" w:cs="宋体"/>
          <w:color w:val="2A2A2A"/>
          <w:kern w:val="0"/>
          <w:sz w:val="23"/>
          <w:szCs w:val="23"/>
        </w:rPr>
        <w:t>、进一步解释了出版费、资料费和其他知识产权事务费用的预算内容。</w:t>
      </w:r>
      <w:r w:rsidRPr="001F581F">
        <w:rPr>
          <w:rFonts w:ascii="ˎ̥" w:eastAsia="宋体" w:hAnsi="ˎ̥" w:cs="宋体"/>
          <w:color w:val="2A2A2A"/>
          <w:kern w:val="0"/>
          <w:sz w:val="23"/>
          <w:szCs w:val="23"/>
        </w:rPr>
        <w:br/>
        <w:t>2</w:t>
      </w:r>
      <w:r w:rsidRPr="001F581F">
        <w:rPr>
          <w:rFonts w:ascii="ˎ̥" w:eastAsia="宋体" w:hAnsi="ˎ̥" w:cs="宋体"/>
          <w:color w:val="2A2A2A"/>
          <w:kern w:val="0"/>
          <w:sz w:val="23"/>
          <w:szCs w:val="23"/>
        </w:rPr>
        <w:t>、明确了专利维护费预算的问题。因专利属于单位的无形资产，专利维护费用一般应由单位自有</w:t>
      </w:r>
      <w:r w:rsidRPr="001F581F">
        <w:rPr>
          <w:rFonts w:ascii="ˎ̥" w:eastAsia="宋体" w:hAnsi="ˎ̥" w:cs="宋体"/>
          <w:color w:val="2A2A2A"/>
          <w:kern w:val="0"/>
          <w:sz w:val="23"/>
          <w:szCs w:val="23"/>
        </w:rPr>
        <w:lastRenderedPageBreak/>
        <w:t>资金解决，但考虑到为完成项目（课题）研究任务而获得的专利与项目（课题）相关，对于该专利在实施周期内的专利维护费允许在重点研发计划资金预算中编列。</w:t>
      </w:r>
      <w:r w:rsidRPr="001F581F">
        <w:rPr>
          <w:rFonts w:ascii="ˎ̥" w:eastAsia="宋体" w:hAnsi="ˎ̥" w:cs="宋体"/>
          <w:color w:val="2A2A2A"/>
          <w:kern w:val="0"/>
          <w:sz w:val="23"/>
          <w:szCs w:val="23"/>
        </w:rPr>
        <w:br/>
        <w:t>3</w:t>
      </w:r>
      <w:r w:rsidRPr="001F581F">
        <w:rPr>
          <w:rFonts w:ascii="ˎ̥" w:eastAsia="宋体" w:hAnsi="ˎ̥" w:cs="宋体"/>
          <w:color w:val="2A2A2A"/>
          <w:kern w:val="0"/>
          <w:sz w:val="23"/>
          <w:szCs w:val="23"/>
        </w:rPr>
        <w:t>、应由单位自己完成的软件开发任务，不能以定制软件的方式外包，其软件开发的费用，如材料费、燃料动力费、劳务费、专家咨询费等，应在相应科目编列。</w:t>
      </w:r>
      <w:r w:rsidRPr="001F581F">
        <w:rPr>
          <w:rFonts w:ascii="ˎ̥" w:eastAsia="宋体" w:hAnsi="ˎ̥" w:cs="宋体"/>
          <w:color w:val="2A2A2A"/>
          <w:kern w:val="0"/>
          <w:sz w:val="23"/>
          <w:szCs w:val="23"/>
        </w:rPr>
        <w:br/>
        <w:t>4</w:t>
      </w:r>
      <w:r w:rsidRPr="001F581F">
        <w:rPr>
          <w:rFonts w:ascii="ˎ̥" w:eastAsia="宋体" w:hAnsi="ˎ̥" w:cs="宋体"/>
          <w:color w:val="2A2A2A"/>
          <w:kern w:val="0"/>
          <w:sz w:val="23"/>
          <w:szCs w:val="23"/>
        </w:rPr>
        <w:t>、明确了不应编列的费用支出。因通用性操作系统、办公软件等属于非专用软件，也是单位应提供的支撑条件，对于日常手机和办公固定电话的通讯费、日常办公网络费和电话充值</w:t>
      </w:r>
      <w:proofErr w:type="gramStart"/>
      <w:r w:rsidRPr="001F581F">
        <w:rPr>
          <w:rFonts w:ascii="ˎ̥" w:eastAsia="宋体" w:hAnsi="ˎ̥" w:cs="宋体"/>
          <w:color w:val="2A2A2A"/>
          <w:kern w:val="0"/>
          <w:sz w:val="23"/>
          <w:szCs w:val="23"/>
        </w:rPr>
        <w:t>卡费用</w:t>
      </w:r>
      <w:proofErr w:type="gramEnd"/>
      <w:r w:rsidRPr="001F581F">
        <w:rPr>
          <w:rFonts w:ascii="ˎ̥" w:eastAsia="宋体" w:hAnsi="ˎ̥" w:cs="宋体"/>
          <w:color w:val="2A2A2A"/>
          <w:kern w:val="0"/>
          <w:sz w:val="23"/>
          <w:szCs w:val="23"/>
        </w:rPr>
        <w:t>等属于管理费用，应通过间接费用解决。</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（六）会议</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差旅</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国际合作交流费</w:t>
      </w:r>
      <w:r w:rsidRPr="001F581F">
        <w:rPr>
          <w:rFonts w:ascii="ˎ̥" w:eastAsia="宋体" w:hAnsi="ˎ̥" w:cs="宋体"/>
          <w:color w:val="2A2A2A"/>
          <w:kern w:val="0"/>
          <w:sz w:val="23"/>
          <w:szCs w:val="23"/>
        </w:rPr>
        <w:br/>
        <w:t>1</w:t>
      </w:r>
      <w:r w:rsidRPr="001F581F">
        <w:rPr>
          <w:rFonts w:ascii="ˎ̥" w:eastAsia="宋体" w:hAnsi="ˎ̥" w:cs="宋体"/>
          <w:color w:val="2A2A2A"/>
          <w:kern w:val="0"/>
          <w:sz w:val="23"/>
          <w:szCs w:val="23"/>
        </w:rPr>
        <w:t>、强调了会议</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差旅</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国际合作交流不超过直接费用</w:t>
      </w:r>
      <w:r w:rsidRPr="001F581F">
        <w:rPr>
          <w:rFonts w:ascii="ˎ̥" w:eastAsia="宋体" w:hAnsi="ˎ̥" w:cs="宋体"/>
          <w:color w:val="2A2A2A"/>
          <w:kern w:val="0"/>
          <w:sz w:val="23"/>
          <w:szCs w:val="23"/>
        </w:rPr>
        <w:t>10%</w:t>
      </w:r>
      <w:r w:rsidRPr="001F581F">
        <w:rPr>
          <w:rFonts w:ascii="ˎ̥" w:eastAsia="宋体" w:hAnsi="ˎ̥" w:cs="宋体"/>
          <w:color w:val="2A2A2A"/>
          <w:kern w:val="0"/>
          <w:sz w:val="23"/>
          <w:szCs w:val="23"/>
        </w:rPr>
        <w:t>的，不需要对预算内容和资金安排进行说明，更不需要提供测算依据。</w:t>
      </w:r>
      <w:r w:rsidRPr="001F581F">
        <w:rPr>
          <w:rFonts w:ascii="ˎ̥" w:eastAsia="宋体" w:hAnsi="ˎ̥" w:cs="宋体"/>
          <w:color w:val="2A2A2A"/>
          <w:kern w:val="0"/>
          <w:sz w:val="23"/>
          <w:szCs w:val="23"/>
        </w:rPr>
        <w:br/>
        <w:t>2</w:t>
      </w:r>
      <w:r w:rsidRPr="001F581F">
        <w:rPr>
          <w:rFonts w:ascii="ˎ̥" w:eastAsia="宋体" w:hAnsi="ˎ̥" w:cs="宋体"/>
          <w:color w:val="2A2A2A"/>
          <w:kern w:val="0"/>
          <w:sz w:val="23"/>
          <w:szCs w:val="23"/>
        </w:rPr>
        <w:t>、对于会议</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差旅</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国际合作交流费超过直接费用</w:t>
      </w:r>
      <w:r w:rsidRPr="001F581F">
        <w:rPr>
          <w:rFonts w:ascii="ˎ̥" w:eastAsia="宋体" w:hAnsi="ˎ̥" w:cs="宋体"/>
          <w:color w:val="2A2A2A"/>
          <w:kern w:val="0"/>
          <w:sz w:val="23"/>
          <w:szCs w:val="23"/>
        </w:rPr>
        <w:t>10%</w:t>
      </w:r>
      <w:r w:rsidRPr="001F581F">
        <w:rPr>
          <w:rFonts w:ascii="ˎ̥" w:eastAsia="宋体" w:hAnsi="ˎ̥" w:cs="宋体"/>
          <w:color w:val="2A2A2A"/>
          <w:kern w:val="0"/>
          <w:sz w:val="23"/>
          <w:szCs w:val="23"/>
        </w:rPr>
        <w:t>的，要求单位对会议费、差旅费</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分类</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测算即可。会议费可按照学术交流研讨、咨询座谈、验收等类型，差旅费可按照科学实验</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试验、科学考察、业务调研、学术交流等类型进行测算，无需对每次会议、每一次出差事项做单独的测算和说明，以简化预算编制要求。另外，对于使用重点研发计划资金编列会议费、差旅费标准的问题，中央高校、科研院所应按照其内部制定的会议费和差旅费管理办法进行测算，并提供管理办法作为附件；中央高校、科研院所以外的科研单位参照国家关于会议费和差旅费的相关开支标准进行测算。</w:t>
      </w:r>
      <w:r w:rsidRPr="001F581F">
        <w:rPr>
          <w:rFonts w:ascii="ˎ̥" w:eastAsia="宋体" w:hAnsi="ˎ̥" w:cs="宋体"/>
          <w:color w:val="2A2A2A"/>
          <w:kern w:val="0"/>
          <w:sz w:val="23"/>
          <w:szCs w:val="23"/>
        </w:rPr>
        <w:br/>
        <w:t>3</w:t>
      </w:r>
      <w:r w:rsidRPr="001F581F">
        <w:rPr>
          <w:rFonts w:ascii="ˎ̥" w:eastAsia="宋体" w:hAnsi="ˎ̥" w:cs="宋体"/>
          <w:color w:val="2A2A2A"/>
          <w:kern w:val="0"/>
          <w:sz w:val="23"/>
          <w:szCs w:val="23"/>
        </w:rPr>
        <w:t>、将外国专家住宿费、差旅费的管理权限下放给单位。由于项目（课题）邀请外国专家来华开展技术交流、培训等情况不同，《预算编报指南》将其来华工作期间发生的住宿费、差旅费等管理权限下放给单位，并明确应参考国内同行专家费用标准编列预算。</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（七）劳务费</w:t>
      </w:r>
      <w:r w:rsidRPr="001F581F">
        <w:rPr>
          <w:rFonts w:ascii="ˎ̥" w:eastAsia="宋体" w:hAnsi="ˎ̥" w:cs="宋体"/>
          <w:color w:val="2A2A2A"/>
          <w:kern w:val="0"/>
          <w:sz w:val="23"/>
          <w:szCs w:val="23"/>
        </w:rPr>
        <w:br/>
        <w:t>1</w:t>
      </w:r>
      <w:r w:rsidRPr="001F581F">
        <w:rPr>
          <w:rFonts w:ascii="ˎ̥" w:eastAsia="宋体" w:hAnsi="ˎ̥" w:cs="宋体"/>
          <w:color w:val="2A2A2A"/>
          <w:kern w:val="0"/>
          <w:sz w:val="23"/>
          <w:szCs w:val="23"/>
        </w:rPr>
        <w:t>、再次重申了</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劳务费预算不设比例限制</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，并在开支范围中增加了科研辅助人员、访问学者、博士后等人员的相关费用。</w:t>
      </w:r>
      <w:r w:rsidRPr="001F581F">
        <w:rPr>
          <w:rFonts w:ascii="ˎ̥" w:eastAsia="宋体" w:hAnsi="ˎ̥" w:cs="宋体"/>
          <w:color w:val="2A2A2A"/>
          <w:kern w:val="0"/>
          <w:sz w:val="23"/>
          <w:szCs w:val="23"/>
        </w:rPr>
        <w:br/>
        <w:t>2</w:t>
      </w:r>
      <w:r w:rsidRPr="001F581F">
        <w:rPr>
          <w:rFonts w:ascii="ˎ̥" w:eastAsia="宋体" w:hAnsi="ˎ̥" w:cs="宋体"/>
          <w:color w:val="2A2A2A"/>
          <w:kern w:val="0"/>
          <w:sz w:val="23"/>
          <w:szCs w:val="23"/>
        </w:rPr>
        <w:t>、介绍了项目（课题）聘用的研究人员及科研辅助人员劳务费开支标准。为适当统一不同类型人员发放劳务费的标准，可参考国家统计局上一年度发布的《中国统计年鉴》中关于从事</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科学研究和技术服务业</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相关地区城镇单位人员平均工资统计数据；对于研究生、博士后等人员的劳务费，应结合本地区和本领域科研单位的研究生、博士后的平均科研劳务水平据实测算。</w:t>
      </w:r>
      <w:r w:rsidRPr="001F581F">
        <w:rPr>
          <w:rFonts w:ascii="ˎ̥" w:eastAsia="宋体" w:hAnsi="ˎ̥" w:cs="宋体"/>
          <w:color w:val="2A2A2A"/>
          <w:kern w:val="0"/>
          <w:sz w:val="23"/>
          <w:szCs w:val="23"/>
        </w:rPr>
        <w:br/>
        <w:t>3</w:t>
      </w:r>
      <w:r w:rsidRPr="001F581F">
        <w:rPr>
          <w:rFonts w:ascii="ˎ̥" w:eastAsia="宋体" w:hAnsi="ˎ̥" w:cs="宋体"/>
          <w:color w:val="2A2A2A"/>
          <w:kern w:val="0"/>
          <w:sz w:val="23"/>
          <w:szCs w:val="23"/>
        </w:rPr>
        <w:t>、提出了访问学者、项目（课题）聘用研究人员的管理原则。为完善对访问学者和项目（课题）聘用研究人员劳务费管理，《预算编报指南》要求单位有健全的劳务费管理办法，项目（课题）聘用研究人员需通过劳务派遣方式或者签订劳动合同、聘用协议等方式聘用；课题组成员不得以访问学者名义在项目下各课题中编列劳务费；劳务费的发放应符合本单位统一的薪酬体系规定，不得重复发放。</w:t>
      </w:r>
      <w:r w:rsidRPr="001F581F">
        <w:rPr>
          <w:rFonts w:ascii="ˎ̥" w:eastAsia="宋体" w:hAnsi="ˎ̥" w:cs="宋体"/>
          <w:color w:val="2A2A2A"/>
          <w:kern w:val="0"/>
          <w:sz w:val="23"/>
          <w:szCs w:val="23"/>
        </w:rPr>
        <w:br/>
        <w:t>4</w:t>
      </w:r>
      <w:r w:rsidRPr="001F581F">
        <w:rPr>
          <w:rFonts w:ascii="ˎ̥" w:eastAsia="宋体" w:hAnsi="ˎ̥" w:cs="宋体"/>
          <w:color w:val="2A2A2A"/>
          <w:kern w:val="0"/>
          <w:sz w:val="23"/>
          <w:szCs w:val="23"/>
        </w:rPr>
        <w:t>、明确了劳务费开支范围以外的人员不应编列劳务费的要求。因重点研发计划资金是对单位项目（课题）实施的补助，对于劳务费开支范围以外、不是为项目（课题）实施专门聘用的研究人员，</w:t>
      </w:r>
      <w:r w:rsidRPr="001F581F">
        <w:rPr>
          <w:rFonts w:ascii="ˎ̥" w:eastAsia="宋体" w:hAnsi="ˎ̥" w:cs="宋体"/>
          <w:color w:val="2A2A2A"/>
          <w:kern w:val="0"/>
          <w:sz w:val="23"/>
          <w:szCs w:val="23"/>
        </w:rPr>
        <w:lastRenderedPageBreak/>
        <w:t>如在项目（课题）立项前已签订劳动合同的人员，以及事业单位的在编人员，《预算编报指南》明确上述人员不应在重点研发计划资金的劳务费中编列，其相关费用可在项目（课题）间接费用的绩效支出中列支。</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（八）专家咨询费</w:t>
      </w:r>
      <w:r w:rsidRPr="001F581F">
        <w:rPr>
          <w:rFonts w:ascii="ˎ̥" w:eastAsia="宋体" w:hAnsi="ˎ̥" w:cs="宋体"/>
          <w:color w:val="2A2A2A"/>
          <w:kern w:val="0"/>
          <w:sz w:val="23"/>
          <w:szCs w:val="23"/>
        </w:rPr>
        <w:br/>
        <w:t>1</w:t>
      </w:r>
      <w:r w:rsidRPr="001F581F">
        <w:rPr>
          <w:rFonts w:ascii="ˎ̥" w:eastAsia="宋体" w:hAnsi="ˎ̥" w:cs="宋体"/>
          <w:color w:val="2A2A2A"/>
          <w:kern w:val="0"/>
          <w:sz w:val="23"/>
          <w:szCs w:val="23"/>
        </w:rPr>
        <w:t>、应由单位代扣代缴个人所得税的预算可以编列。对于科研单位反映专家个人所得税的问题，明确了应由单位代扣代缴个人所得税，并可将个人所得税在本科目预算中一并编列。</w:t>
      </w:r>
      <w:r w:rsidRPr="001F581F">
        <w:rPr>
          <w:rFonts w:ascii="ˎ̥" w:eastAsia="宋体" w:hAnsi="ˎ̥" w:cs="宋体"/>
          <w:color w:val="2A2A2A"/>
          <w:kern w:val="0"/>
          <w:sz w:val="23"/>
          <w:szCs w:val="23"/>
        </w:rPr>
        <w:br/>
        <w:t>2</w:t>
      </w:r>
      <w:r w:rsidRPr="001F581F">
        <w:rPr>
          <w:rFonts w:ascii="ˎ̥" w:eastAsia="宋体" w:hAnsi="ˎ̥" w:cs="宋体"/>
          <w:color w:val="2A2A2A"/>
          <w:kern w:val="0"/>
          <w:sz w:val="23"/>
          <w:szCs w:val="23"/>
        </w:rPr>
        <w:t>、强调了专家咨询费不得支付给参与项目（课题）研究及其管理的相关人员。</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（九）其他支出</w:t>
      </w:r>
      <w:r w:rsidRPr="001F581F">
        <w:rPr>
          <w:rFonts w:ascii="ˎ̥" w:eastAsia="宋体" w:hAnsi="ˎ̥" w:cs="宋体"/>
          <w:color w:val="2A2A2A"/>
          <w:kern w:val="0"/>
          <w:sz w:val="23"/>
          <w:szCs w:val="23"/>
        </w:rPr>
        <w:br/>
        <w:t>1</w:t>
      </w:r>
      <w:r w:rsidRPr="001F581F">
        <w:rPr>
          <w:rFonts w:ascii="ˎ̥" w:eastAsia="宋体" w:hAnsi="ˎ̥" w:cs="宋体"/>
          <w:color w:val="2A2A2A"/>
          <w:kern w:val="0"/>
          <w:sz w:val="23"/>
          <w:szCs w:val="23"/>
        </w:rPr>
        <w:t>、对其他支出的支出范围进行了解释。《预算编报指南》以</w:t>
      </w:r>
      <w:proofErr w:type="gramStart"/>
      <w:r w:rsidRPr="001F581F">
        <w:rPr>
          <w:rFonts w:ascii="ˎ̥" w:eastAsia="宋体" w:hAnsi="ˎ̥" w:cs="宋体"/>
          <w:color w:val="2A2A2A"/>
          <w:kern w:val="0"/>
          <w:sz w:val="23"/>
          <w:szCs w:val="23"/>
        </w:rPr>
        <w:t>例举</w:t>
      </w:r>
      <w:proofErr w:type="gramEnd"/>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财务验收审计费用</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 xml:space="preserve">“ </w:t>
      </w:r>
      <w:r w:rsidRPr="001F581F">
        <w:rPr>
          <w:rFonts w:ascii="ˎ̥" w:eastAsia="宋体" w:hAnsi="ˎ̥" w:cs="宋体"/>
          <w:color w:val="2A2A2A"/>
          <w:kern w:val="0"/>
          <w:sz w:val="23"/>
          <w:szCs w:val="23"/>
        </w:rPr>
        <w:t>在农业、林业等领域发生的土地租赁费及青苗补偿费</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 xml:space="preserve">“ </w:t>
      </w:r>
      <w:r w:rsidRPr="001F581F">
        <w:rPr>
          <w:rFonts w:ascii="ˎ̥" w:eastAsia="宋体" w:hAnsi="ˎ̥" w:cs="宋体"/>
          <w:color w:val="2A2A2A"/>
          <w:kern w:val="0"/>
          <w:sz w:val="23"/>
          <w:szCs w:val="23"/>
        </w:rPr>
        <w:t>在人口与健康领域发生的临床试验费</w:t>
      </w:r>
      <w:r w:rsidRPr="001F581F">
        <w:rPr>
          <w:rFonts w:ascii="ˎ̥" w:eastAsia="宋体" w:hAnsi="ˎ̥" w:cs="宋体"/>
          <w:color w:val="2A2A2A"/>
          <w:kern w:val="0"/>
          <w:sz w:val="23"/>
          <w:szCs w:val="23"/>
        </w:rPr>
        <w:t>”</w:t>
      </w:r>
      <w:r w:rsidRPr="001F581F">
        <w:rPr>
          <w:rFonts w:ascii="ˎ̥" w:eastAsia="宋体" w:hAnsi="ˎ̥" w:cs="宋体"/>
          <w:color w:val="2A2A2A"/>
          <w:kern w:val="0"/>
          <w:sz w:val="23"/>
          <w:szCs w:val="23"/>
        </w:rPr>
        <w:t>等方式，明确了在项目（课题）实施过程中必须发生但不包含在上述</w:t>
      </w:r>
      <w:r w:rsidRPr="001F581F">
        <w:rPr>
          <w:rFonts w:ascii="ˎ̥" w:eastAsia="宋体" w:hAnsi="ˎ̥" w:cs="宋体"/>
          <w:color w:val="2A2A2A"/>
          <w:kern w:val="0"/>
          <w:sz w:val="23"/>
          <w:szCs w:val="23"/>
        </w:rPr>
        <w:t>8</w:t>
      </w:r>
      <w:r w:rsidRPr="001F581F">
        <w:rPr>
          <w:rFonts w:ascii="ˎ̥" w:eastAsia="宋体" w:hAnsi="ˎ̥" w:cs="宋体"/>
          <w:color w:val="2A2A2A"/>
          <w:kern w:val="0"/>
          <w:sz w:val="23"/>
          <w:szCs w:val="23"/>
        </w:rPr>
        <w:t>个科目中的支出，可在其他支出中编列。</w:t>
      </w:r>
      <w:r w:rsidRPr="001F581F">
        <w:rPr>
          <w:rFonts w:ascii="ˎ̥" w:eastAsia="宋体" w:hAnsi="ˎ̥" w:cs="宋体"/>
          <w:color w:val="2A2A2A"/>
          <w:kern w:val="0"/>
          <w:sz w:val="23"/>
          <w:szCs w:val="23"/>
        </w:rPr>
        <w:br/>
        <w:t>2</w:t>
      </w:r>
      <w:r w:rsidRPr="001F581F">
        <w:rPr>
          <w:rFonts w:ascii="ˎ̥" w:eastAsia="宋体" w:hAnsi="ˎ̥" w:cs="宋体"/>
          <w:color w:val="2A2A2A"/>
          <w:kern w:val="0"/>
          <w:sz w:val="23"/>
          <w:szCs w:val="23"/>
        </w:rPr>
        <w:t>、对于列支的财务验收审计费用，应</w:t>
      </w:r>
      <w:proofErr w:type="gramStart"/>
      <w:r w:rsidRPr="001F581F">
        <w:rPr>
          <w:rFonts w:ascii="ˎ̥" w:eastAsia="宋体" w:hAnsi="ˎ̥" w:cs="宋体"/>
          <w:color w:val="2A2A2A"/>
          <w:kern w:val="0"/>
          <w:sz w:val="23"/>
          <w:szCs w:val="23"/>
        </w:rPr>
        <w:t>本着经济</w:t>
      </w:r>
      <w:proofErr w:type="gramEnd"/>
      <w:r w:rsidRPr="001F581F">
        <w:rPr>
          <w:rFonts w:ascii="ˎ̥" w:eastAsia="宋体" w:hAnsi="ˎ̥" w:cs="宋体"/>
          <w:color w:val="2A2A2A"/>
          <w:kern w:val="0"/>
          <w:sz w:val="23"/>
          <w:szCs w:val="23"/>
        </w:rPr>
        <w:t>合理的原则进行编制，不得列支财务咨询业务发生的费用。</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（十）间接费用</w:t>
      </w:r>
      <w:r w:rsidRPr="001F581F">
        <w:rPr>
          <w:rFonts w:ascii="ˎ̥" w:eastAsia="宋体" w:hAnsi="ˎ̥" w:cs="宋体"/>
          <w:color w:val="2A2A2A"/>
          <w:kern w:val="0"/>
          <w:sz w:val="23"/>
          <w:szCs w:val="23"/>
        </w:rPr>
        <w:br/>
      </w:r>
      <w:r w:rsidRPr="001F581F">
        <w:rPr>
          <w:rFonts w:ascii="ˎ̥" w:eastAsia="宋体" w:hAnsi="ˎ̥" w:cs="宋体"/>
          <w:color w:val="2A2A2A"/>
          <w:kern w:val="0"/>
          <w:sz w:val="23"/>
          <w:szCs w:val="23"/>
        </w:rPr>
        <w:t>明确提出课题间接费用无需编制预算说明，课题间接费用按照课题直接费用扣除设备购置费后，按规定的比例计算得出。</w:t>
      </w:r>
      <w:r w:rsidRPr="001F581F">
        <w:rPr>
          <w:rFonts w:ascii="ˎ̥" w:eastAsia="宋体" w:hAnsi="ˎ̥" w:cs="宋体"/>
          <w:color w:val="2A2A2A"/>
          <w:kern w:val="0"/>
          <w:sz w:val="23"/>
          <w:szCs w:val="23"/>
        </w:rPr>
        <w:br/>
      </w:r>
    </w:p>
    <w:p w:rsidR="0078784A" w:rsidRPr="001F581F" w:rsidRDefault="0078784A" w:rsidP="001F581F"/>
    <w:sectPr w:rsidR="0078784A" w:rsidRPr="001F581F" w:rsidSect="000135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A8" w:rsidRDefault="002A2EA8" w:rsidP="00013514">
      <w:r>
        <w:separator/>
      </w:r>
    </w:p>
  </w:endnote>
  <w:endnote w:type="continuationSeparator" w:id="0">
    <w:p w:rsidR="002A2EA8" w:rsidRDefault="002A2EA8" w:rsidP="0001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A8" w:rsidRDefault="002A2EA8" w:rsidP="00013514">
      <w:r>
        <w:separator/>
      </w:r>
    </w:p>
  </w:footnote>
  <w:footnote w:type="continuationSeparator" w:id="0">
    <w:p w:rsidR="002A2EA8" w:rsidRDefault="002A2EA8" w:rsidP="00013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9D"/>
    <w:rsid w:val="00013514"/>
    <w:rsid w:val="00183BC4"/>
    <w:rsid w:val="001F581F"/>
    <w:rsid w:val="002A2EA8"/>
    <w:rsid w:val="0078784A"/>
    <w:rsid w:val="007A0B9D"/>
    <w:rsid w:val="00D73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3BC4"/>
    <w:rPr>
      <w:sz w:val="18"/>
      <w:szCs w:val="18"/>
    </w:rPr>
  </w:style>
  <w:style w:type="character" w:customStyle="1" w:styleId="Char">
    <w:name w:val="批注框文本 Char"/>
    <w:basedOn w:val="a0"/>
    <w:link w:val="a3"/>
    <w:uiPriority w:val="99"/>
    <w:semiHidden/>
    <w:rsid w:val="00183BC4"/>
    <w:rPr>
      <w:sz w:val="18"/>
      <w:szCs w:val="18"/>
    </w:rPr>
  </w:style>
  <w:style w:type="paragraph" w:styleId="a4">
    <w:name w:val="header"/>
    <w:basedOn w:val="a"/>
    <w:link w:val="Char0"/>
    <w:uiPriority w:val="99"/>
    <w:unhideWhenUsed/>
    <w:rsid w:val="000135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13514"/>
    <w:rPr>
      <w:sz w:val="18"/>
      <w:szCs w:val="18"/>
    </w:rPr>
  </w:style>
  <w:style w:type="paragraph" w:styleId="a5">
    <w:name w:val="footer"/>
    <w:basedOn w:val="a"/>
    <w:link w:val="Char1"/>
    <w:uiPriority w:val="99"/>
    <w:unhideWhenUsed/>
    <w:rsid w:val="00013514"/>
    <w:pPr>
      <w:tabs>
        <w:tab w:val="center" w:pos="4153"/>
        <w:tab w:val="right" w:pos="8306"/>
      </w:tabs>
      <w:snapToGrid w:val="0"/>
      <w:jc w:val="left"/>
    </w:pPr>
    <w:rPr>
      <w:sz w:val="18"/>
      <w:szCs w:val="18"/>
    </w:rPr>
  </w:style>
  <w:style w:type="character" w:customStyle="1" w:styleId="Char1">
    <w:name w:val="页脚 Char"/>
    <w:basedOn w:val="a0"/>
    <w:link w:val="a5"/>
    <w:uiPriority w:val="99"/>
    <w:rsid w:val="000135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3BC4"/>
    <w:rPr>
      <w:sz w:val="18"/>
      <w:szCs w:val="18"/>
    </w:rPr>
  </w:style>
  <w:style w:type="character" w:customStyle="1" w:styleId="Char">
    <w:name w:val="批注框文本 Char"/>
    <w:basedOn w:val="a0"/>
    <w:link w:val="a3"/>
    <w:uiPriority w:val="99"/>
    <w:semiHidden/>
    <w:rsid w:val="00183BC4"/>
    <w:rPr>
      <w:sz w:val="18"/>
      <w:szCs w:val="18"/>
    </w:rPr>
  </w:style>
  <w:style w:type="paragraph" w:styleId="a4">
    <w:name w:val="header"/>
    <w:basedOn w:val="a"/>
    <w:link w:val="Char0"/>
    <w:uiPriority w:val="99"/>
    <w:unhideWhenUsed/>
    <w:rsid w:val="000135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13514"/>
    <w:rPr>
      <w:sz w:val="18"/>
      <w:szCs w:val="18"/>
    </w:rPr>
  </w:style>
  <w:style w:type="paragraph" w:styleId="a5">
    <w:name w:val="footer"/>
    <w:basedOn w:val="a"/>
    <w:link w:val="Char1"/>
    <w:uiPriority w:val="99"/>
    <w:unhideWhenUsed/>
    <w:rsid w:val="00013514"/>
    <w:pPr>
      <w:tabs>
        <w:tab w:val="center" w:pos="4153"/>
        <w:tab w:val="right" w:pos="8306"/>
      </w:tabs>
      <w:snapToGrid w:val="0"/>
      <w:jc w:val="left"/>
    </w:pPr>
    <w:rPr>
      <w:sz w:val="18"/>
      <w:szCs w:val="18"/>
    </w:rPr>
  </w:style>
  <w:style w:type="character" w:customStyle="1" w:styleId="Char1">
    <w:name w:val="页脚 Char"/>
    <w:basedOn w:val="a0"/>
    <w:link w:val="a5"/>
    <w:uiPriority w:val="99"/>
    <w:rsid w:val="000135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50309">
      <w:bodyDiv w:val="1"/>
      <w:marLeft w:val="0"/>
      <w:marRight w:val="0"/>
      <w:marTop w:val="0"/>
      <w:marBottom w:val="0"/>
      <w:divBdr>
        <w:top w:val="none" w:sz="0" w:space="0" w:color="auto"/>
        <w:left w:val="none" w:sz="0" w:space="0" w:color="auto"/>
        <w:bottom w:val="none" w:sz="0" w:space="0" w:color="auto"/>
        <w:right w:val="none" w:sz="0" w:space="0" w:color="auto"/>
      </w:divBdr>
      <w:divsChild>
        <w:div w:id="1778408005">
          <w:marLeft w:val="0"/>
          <w:marRight w:val="0"/>
          <w:marTop w:val="0"/>
          <w:marBottom w:val="0"/>
          <w:divBdr>
            <w:top w:val="none" w:sz="0" w:space="0" w:color="auto"/>
            <w:left w:val="none" w:sz="0" w:space="0" w:color="auto"/>
            <w:bottom w:val="none" w:sz="0" w:space="0" w:color="auto"/>
            <w:right w:val="none" w:sz="0" w:space="0" w:color="auto"/>
          </w:divBdr>
          <w:divsChild>
            <w:div w:id="456946268">
              <w:marLeft w:val="0"/>
              <w:marRight w:val="0"/>
              <w:marTop w:val="0"/>
              <w:marBottom w:val="0"/>
              <w:divBdr>
                <w:top w:val="none" w:sz="0" w:space="0" w:color="auto"/>
                <w:left w:val="none" w:sz="0" w:space="0" w:color="auto"/>
                <w:bottom w:val="none" w:sz="0" w:space="0" w:color="auto"/>
                <w:right w:val="none" w:sz="0" w:space="0" w:color="auto"/>
              </w:divBdr>
            </w:div>
          </w:divsChild>
        </w:div>
        <w:div w:id="457841722">
          <w:marLeft w:val="0"/>
          <w:marRight w:val="0"/>
          <w:marTop w:val="0"/>
          <w:marBottom w:val="0"/>
          <w:divBdr>
            <w:top w:val="none" w:sz="0" w:space="0" w:color="auto"/>
            <w:left w:val="none" w:sz="0" w:space="0" w:color="auto"/>
            <w:bottom w:val="none" w:sz="0" w:space="0" w:color="auto"/>
            <w:right w:val="none" w:sz="0" w:space="0" w:color="auto"/>
          </w:divBdr>
        </w:div>
        <w:div w:id="1538590627">
          <w:marLeft w:val="0"/>
          <w:marRight w:val="0"/>
          <w:marTop w:val="0"/>
          <w:marBottom w:val="0"/>
          <w:divBdr>
            <w:top w:val="none" w:sz="0" w:space="0" w:color="auto"/>
            <w:left w:val="none" w:sz="0" w:space="0" w:color="auto"/>
            <w:bottom w:val="none" w:sz="0" w:space="0" w:color="auto"/>
            <w:right w:val="none" w:sz="0" w:space="0" w:color="auto"/>
          </w:divBdr>
        </w:div>
      </w:divsChild>
    </w:div>
    <w:div w:id="2042435911">
      <w:bodyDiv w:val="1"/>
      <w:marLeft w:val="0"/>
      <w:marRight w:val="0"/>
      <w:marTop w:val="0"/>
      <w:marBottom w:val="0"/>
      <w:divBdr>
        <w:top w:val="none" w:sz="0" w:space="0" w:color="auto"/>
        <w:left w:val="none" w:sz="0" w:space="0" w:color="auto"/>
        <w:bottom w:val="none" w:sz="0" w:space="0" w:color="auto"/>
        <w:right w:val="none" w:sz="0" w:space="0" w:color="auto"/>
      </w:divBdr>
      <w:divsChild>
        <w:div w:id="647246987">
          <w:marLeft w:val="0"/>
          <w:marRight w:val="0"/>
          <w:marTop w:val="0"/>
          <w:marBottom w:val="0"/>
          <w:divBdr>
            <w:top w:val="none" w:sz="0" w:space="0" w:color="auto"/>
            <w:left w:val="none" w:sz="0" w:space="0" w:color="auto"/>
            <w:bottom w:val="none" w:sz="0" w:space="0" w:color="auto"/>
            <w:right w:val="none" w:sz="0" w:space="0" w:color="auto"/>
          </w:divBdr>
          <w:divsChild>
            <w:div w:id="827669459">
              <w:marLeft w:val="0"/>
              <w:marRight w:val="0"/>
              <w:marTop w:val="0"/>
              <w:marBottom w:val="0"/>
              <w:divBdr>
                <w:top w:val="none" w:sz="0" w:space="0" w:color="auto"/>
                <w:left w:val="none" w:sz="0" w:space="0" w:color="auto"/>
                <w:bottom w:val="none" w:sz="0" w:space="0" w:color="auto"/>
                <w:right w:val="none" w:sz="0" w:space="0" w:color="auto"/>
              </w:divBdr>
            </w:div>
          </w:divsChild>
        </w:div>
        <w:div w:id="1058624388">
          <w:marLeft w:val="0"/>
          <w:marRight w:val="0"/>
          <w:marTop w:val="0"/>
          <w:marBottom w:val="0"/>
          <w:divBdr>
            <w:top w:val="none" w:sz="0" w:space="0" w:color="auto"/>
            <w:left w:val="none" w:sz="0" w:space="0" w:color="auto"/>
            <w:bottom w:val="none" w:sz="0" w:space="0" w:color="auto"/>
            <w:right w:val="none" w:sz="0" w:space="0" w:color="auto"/>
          </w:divBdr>
        </w:div>
        <w:div w:id="290944582">
          <w:marLeft w:val="0"/>
          <w:marRight w:val="0"/>
          <w:marTop w:val="0"/>
          <w:marBottom w:val="0"/>
          <w:divBdr>
            <w:top w:val="none" w:sz="0" w:space="0" w:color="auto"/>
            <w:left w:val="none" w:sz="0" w:space="0" w:color="auto"/>
            <w:bottom w:val="none" w:sz="0" w:space="0" w:color="auto"/>
            <w:right w:val="none" w:sz="0" w:space="0" w:color="auto"/>
          </w:divBdr>
        </w:div>
      </w:divsChild>
    </w:div>
    <w:div w:id="2118329626">
      <w:bodyDiv w:val="1"/>
      <w:marLeft w:val="0"/>
      <w:marRight w:val="0"/>
      <w:marTop w:val="0"/>
      <w:marBottom w:val="0"/>
      <w:divBdr>
        <w:top w:val="none" w:sz="0" w:space="0" w:color="auto"/>
        <w:left w:val="none" w:sz="0" w:space="0" w:color="auto"/>
        <w:bottom w:val="none" w:sz="0" w:space="0" w:color="auto"/>
        <w:right w:val="none" w:sz="0" w:space="0" w:color="auto"/>
      </w:divBdr>
      <w:divsChild>
        <w:div w:id="799152956">
          <w:marLeft w:val="0"/>
          <w:marRight w:val="0"/>
          <w:marTop w:val="0"/>
          <w:marBottom w:val="0"/>
          <w:divBdr>
            <w:top w:val="none" w:sz="0" w:space="0" w:color="auto"/>
            <w:left w:val="none" w:sz="0" w:space="0" w:color="auto"/>
            <w:bottom w:val="none" w:sz="0" w:space="0" w:color="auto"/>
            <w:right w:val="none" w:sz="0" w:space="0" w:color="auto"/>
          </w:divBdr>
          <w:divsChild>
            <w:div w:id="11192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陈立鹰</dc:creator>
  <cp:keywords/>
  <dc:description/>
  <cp:lastModifiedBy>陈立鹰</cp:lastModifiedBy>
  <cp:revision>5</cp:revision>
  <dcterms:created xsi:type="dcterms:W3CDTF">2017-09-30T00:13:00Z</dcterms:created>
  <dcterms:modified xsi:type="dcterms:W3CDTF">2017-09-30T00:36:00Z</dcterms:modified>
</cp:coreProperties>
</file>